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both"/>
        <w:textAlignment w:val="auto"/>
        <w:rPr>
          <w:rFonts w:hint="default" w:ascii="Times New Roman" w:hAnsi="Times New Roman" w:eastAsia="方正大标宋简体"/>
          <w:b/>
          <w:sz w:val="44"/>
          <w:szCs w:val="44"/>
          <w:lang w:val="en-US" w:eastAsia="zh-CN"/>
        </w:rPr>
      </w:pPr>
      <w:r>
        <w:rPr>
          <w:rFonts w:hint="eastAsia" w:ascii="Times New Roman" w:hAnsi="Times New Roman" w:eastAsia="方正大标宋简体"/>
          <w:b/>
          <w:sz w:val="44"/>
          <w:szCs w:val="44"/>
          <w:lang w:val="en-US" w:eastAsia="zh-CN"/>
        </w:rPr>
        <w:t>附件1：</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方正小标宋简体" w:hAnsi="方正小标宋简体" w:eastAsia="方正小标宋简体" w:cs="方正小标宋简体"/>
          <w:b/>
          <w:bCs/>
          <w:color w:val="000000" w:themeColor="text1"/>
          <w:sz w:val="48"/>
          <w:szCs w:val="48"/>
          <w:u w:val="none"/>
          <w:lang w:val="en-US" w:eastAsia="zh-CN"/>
          <w14:textFill>
            <w14:solidFill>
              <w14:schemeClr w14:val="tx1"/>
            </w14:solidFill>
          </w14:textFill>
        </w:rPr>
      </w:pPr>
      <w:r>
        <w:rPr>
          <w:rFonts w:hint="eastAsia" w:ascii="方正小标宋简体" w:hAnsi="方正小标宋简体" w:eastAsia="方正小标宋简体" w:cs="方正小标宋简体"/>
          <w:b/>
          <w:bCs/>
          <w:color w:val="000000" w:themeColor="text1"/>
          <w:sz w:val="48"/>
          <w:szCs w:val="48"/>
          <w:u w:val="non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方正小标宋简体" w:hAnsi="方正小标宋简体" w:eastAsia="方正小标宋简体" w:cs="方正小标宋简体"/>
          <w:b/>
          <w:bCs/>
          <w:color w:val="000000" w:themeColor="text1"/>
          <w:sz w:val="48"/>
          <w:szCs w:val="48"/>
          <w:u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b/>
          <w:bCs/>
          <w:color w:val="000000" w:themeColor="text1"/>
          <w:sz w:val="48"/>
          <w:szCs w:val="48"/>
          <w:u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b/>
          <w:bCs/>
          <w:color w:val="000000" w:themeColor="text1"/>
          <w:sz w:val="48"/>
          <w:szCs w:val="48"/>
          <w:u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
          <w:color w:val="000000" w:themeColor="text1"/>
          <w:sz w:val="48"/>
          <w:szCs w:val="48"/>
          <w:u w:val="none"/>
          <w14:textFill>
            <w14:solidFill>
              <w14:schemeClr w14:val="tx1"/>
            </w14:solidFill>
          </w14:textFill>
        </w:rPr>
      </w:pPr>
      <w:r>
        <w:rPr>
          <w:rFonts w:hint="eastAsia" w:ascii="方正小标宋简体" w:hAnsi="方正小标宋简体" w:eastAsia="方正小标宋简体" w:cs="方正小标宋简体"/>
          <w:b/>
          <w:bCs/>
          <w:color w:val="000000" w:themeColor="text1"/>
          <w:sz w:val="48"/>
          <w:szCs w:val="48"/>
          <w:u w:val="none"/>
          <w:lang w:eastAsia="zh-CN"/>
          <w14:textFill>
            <w14:solidFill>
              <w14:schemeClr w14:val="tx1"/>
            </w14:solidFill>
          </w14:textFill>
        </w:rPr>
        <w:t>信阳农林</w:t>
      </w:r>
      <w:r>
        <w:rPr>
          <w:rFonts w:hint="eastAsia" w:ascii="方正小标宋简体" w:hAnsi="方正小标宋简体" w:eastAsia="方正小标宋简体" w:cs="方正小标宋简体"/>
          <w:b/>
          <w:bCs/>
          <w:color w:val="000000" w:themeColor="text1"/>
          <w:sz w:val="48"/>
          <w:szCs w:val="48"/>
          <w:u w:val="none"/>
          <w14:textFill>
            <w14:solidFill>
              <w14:schemeClr w14:val="tx1"/>
            </w14:solidFill>
          </w14:textFill>
        </w:rPr>
        <w:t>学院</w:t>
      </w:r>
      <w:r>
        <w:rPr>
          <w:rFonts w:hint="eastAsia" w:ascii="方正小标宋简体" w:hAnsi="方正小标宋简体" w:eastAsia="方正小标宋简体" w:cs="方正小标宋简体"/>
          <w:b/>
          <w:bCs/>
          <w:color w:val="000000" w:themeColor="text1"/>
          <w:sz w:val="48"/>
          <w:szCs w:val="48"/>
          <w:u w:val="none"/>
          <w:lang w:eastAsia="zh-CN"/>
          <w14:textFill>
            <w14:solidFill>
              <w14:schemeClr w14:val="tx1"/>
            </w14:solidFill>
          </w14:textFill>
        </w:rPr>
        <w:t>“十四五”事业</w:t>
      </w:r>
      <w:r>
        <w:rPr>
          <w:rFonts w:hint="eastAsia" w:ascii="方正小标宋简体" w:hAnsi="方正小标宋简体" w:eastAsia="方正小标宋简体" w:cs="方正小标宋简体"/>
          <w:b/>
          <w:bCs/>
          <w:color w:val="000000" w:themeColor="text1"/>
          <w:sz w:val="48"/>
          <w:szCs w:val="48"/>
          <w:u w:val="none"/>
          <w14:textFill>
            <w14:solidFill>
              <w14:schemeClr w14:val="tx1"/>
            </w14:solidFill>
          </w14:textFill>
        </w:rPr>
        <w:t>发展规划</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
          <w:bCs w:val="0"/>
          <w:color w:val="000000" w:themeColor="text1"/>
          <w:sz w:val="44"/>
          <w:szCs w:val="44"/>
          <w:u w:val="no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
          <w:bCs w:val="0"/>
          <w:color w:val="000000" w:themeColor="text1"/>
          <w:sz w:val="36"/>
          <w:szCs w:val="36"/>
          <w:u w:val="none"/>
          <w:lang w:val="en-US" w:eastAsia="zh-CN"/>
          <w14:textFill>
            <w14:solidFill>
              <w14:schemeClr w14:val="tx1"/>
            </w14:solidFill>
          </w14:textFill>
        </w:rPr>
      </w:pPr>
      <w:r>
        <w:rPr>
          <w:rFonts w:hint="eastAsia" w:ascii="仿宋" w:hAnsi="仿宋" w:eastAsia="仿宋" w:cs="仿宋"/>
          <w:b/>
          <w:bCs w:val="0"/>
          <w:color w:val="000000" w:themeColor="text1"/>
          <w:sz w:val="36"/>
          <w:szCs w:val="36"/>
          <w:u w:val="none"/>
          <w:lang w:val="en-US" w:eastAsia="zh-CN"/>
          <w14:textFill>
            <w14:solidFill>
              <w14:schemeClr w14:val="tx1"/>
            </w14:solidFill>
          </w14:textFill>
        </w:rPr>
        <w:t>（初 稿）</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b/>
          <w:bCs/>
          <w:color w:val="000000" w:themeColor="text1"/>
          <w:sz w:val="48"/>
          <w:szCs w:val="48"/>
          <w:u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b/>
          <w:bCs/>
          <w:color w:val="000000" w:themeColor="text1"/>
          <w:sz w:val="48"/>
          <w:szCs w:val="48"/>
          <w:u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b/>
          <w:bCs/>
          <w:color w:val="000000" w:themeColor="text1"/>
          <w:sz w:val="48"/>
          <w:szCs w:val="48"/>
          <w:u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b/>
          <w:bCs/>
          <w:color w:val="000000" w:themeColor="text1"/>
          <w:sz w:val="48"/>
          <w:szCs w:val="48"/>
          <w:u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b/>
          <w:bCs/>
          <w:color w:val="000000" w:themeColor="text1"/>
          <w:sz w:val="48"/>
          <w:szCs w:val="48"/>
          <w:u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b/>
          <w:bCs/>
          <w:color w:val="000000" w:themeColor="text1"/>
          <w:sz w:val="48"/>
          <w:szCs w:val="48"/>
          <w:u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b/>
          <w:bCs/>
          <w:color w:val="000000" w:themeColor="text1"/>
          <w:sz w:val="48"/>
          <w:szCs w:val="48"/>
          <w:u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方正小标宋简体" w:hAnsi="方正小标宋简体" w:eastAsia="方正小标宋简体" w:cs="方正小标宋简体"/>
          <w:b/>
          <w:bCs/>
          <w:color w:val="000000" w:themeColor="text1"/>
          <w:sz w:val="48"/>
          <w:szCs w:val="48"/>
          <w:u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方正小标宋简体" w:hAnsi="方正小标宋简体" w:eastAsia="方正小标宋简体" w:cs="方正小标宋简体"/>
          <w:b/>
          <w:bCs/>
          <w:color w:val="000000" w:themeColor="text1"/>
          <w:sz w:val="48"/>
          <w:szCs w:val="48"/>
          <w:u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方正小标宋简体" w:hAnsi="方正小标宋简体" w:eastAsia="方正小标宋简体" w:cs="方正小标宋简体"/>
          <w:b/>
          <w:bCs/>
          <w:color w:val="000000" w:themeColor="text1"/>
          <w:sz w:val="48"/>
          <w:szCs w:val="48"/>
          <w:u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b/>
          <w:bCs/>
          <w:color w:val="000000" w:themeColor="text1"/>
          <w:sz w:val="48"/>
          <w:szCs w:val="48"/>
          <w:u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b w:val="0"/>
          <w:bCs w:val="0"/>
          <w:color w:val="000000" w:themeColor="text1"/>
          <w:sz w:val="36"/>
          <w:szCs w:val="36"/>
          <w:u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b w:val="0"/>
          <w:bCs w:val="0"/>
          <w:color w:val="000000" w:themeColor="text1"/>
          <w:sz w:val="36"/>
          <w:szCs w:val="36"/>
          <w:u w:val="none"/>
          <w:lang w:val="en-US"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36"/>
          <w:szCs w:val="36"/>
          <w:u w:val="none"/>
          <w:lang w:val="en-US" w:eastAsia="zh-CN"/>
          <w14:textFill>
            <w14:solidFill>
              <w14:schemeClr w14:val="tx1"/>
            </w14:solidFill>
          </w14:textFill>
        </w:rPr>
        <w:t>“十四五”事业发展规划编写组</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b/>
          <w:bCs/>
          <w:color w:val="000000" w:themeColor="text1"/>
          <w:sz w:val="48"/>
          <w:szCs w:val="48"/>
          <w:u w:val="none"/>
          <w:lang w:val="en-US" w:eastAsia="zh-CN"/>
          <w14:textFill>
            <w14:solidFill>
              <w14:schemeClr w14:val="tx1"/>
            </w14:solidFill>
          </w14:textFill>
        </w:rPr>
        <w:sectPr>
          <w:pgSz w:w="11906" w:h="16838"/>
          <w:pgMar w:top="1440" w:right="1800" w:bottom="1440" w:left="1800" w:header="851" w:footer="992" w:gutter="0"/>
          <w:cols w:space="720" w:num="1"/>
          <w:docGrid w:type="lines" w:linePitch="312" w:charSpace="0"/>
        </w:sectPr>
      </w:pPr>
      <w:r>
        <w:rPr>
          <w:rFonts w:hint="eastAsia" w:ascii="方正小标宋简体" w:hAnsi="方正小标宋简体" w:eastAsia="方正小标宋简体" w:cs="方正小标宋简体"/>
          <w:b w:val="0"/>
          <w:bCs w:val="0"/>
          <w:color w:val="000000" w:themeColor="text1"/>
          <w:sz w:val="36"/>
          <w:szCs w:val="36"/>
          <w:u w:val="none"/>
          <w:lang w:val="en-US" w:eastAsia="zh-CN"/>
          <w14:textFill>
            <w14:solidFill>
              <w14:schemeClr w14:val="tx1"/>
            </w14:solidFill>
          </w14:textFill>
        </w:rPr>
        <w:t>2021年4月</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b/>
          <w:bCs/>
          <w:color w:val="000000" w:themeColor="text1"/>
          <w:sz w:val="48"/>
          <w:szCs w:val="48"/>
          <w:u w:val="none"/>
          <w:lang w:val="en-US" w:eastAsia="zh-CN"/>
          <w14:textFill>
            <w14:solidFill>
              <w14:schemeClr w14:val="tx1"/>
            </w14:solidFill>
          </w14:textFill>
        </w:rPr>
      </w:pPr>
      <w:r>
        <w:rPr>
          <w:rFonts w:hint="eastAsia" w:ascii="方正小标宋简体" w:hAnsi="方正小标宋简体" w:eastAsia="方正小标宋简体" w:cs="方正小标宋简体"/>
          <w:b/>
          <w:bCs/>
          <w:color w:val="000000" w:themeColor="text1"/>
          <w:sz w:val="48"/>
          <w:szCs w:val="48"/>
          <w:u w:val="none"/>
          <w:lang w:val="en-US" w:eastAsia="zh-CN"/>
          <w14:textFill>
            <w14:solidFill>
              <w14:schemeClr w14:val="tx1"/>
            </w14:solidFill>
          </w14:textFill>
        </w:rPr>
        <w:t>目 录</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color w:val="000000" w:themeColor="text1"/>
          <w:sz w:val="24"/>
          <w:szCs w:val="24"/>
          <w:u w:val="none"/>
          <w:lang w:val="en-US" w:eastAsia="zh-CN"/>
          <w14:textFill>
            <w14:solidFill>
              <w14:schemeClr w14:val="tx1"/>
            </w14:solidFill>
          </w14:textFill>
        </w:rPr>
      </w:pP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b/>
          <w:bCs/>
          <w:color w:val="000000" w:themeColor="text1"/>
          <w:sz w:val="24"/>
          <w:szCs w:val="24"/>
          <w:u w:val="none"/>
          <w:lang w:val="en-US" w:eastAsia="zh-CN"/>
          <w14:textFill>
            <w14:solidFill>
              <w14:schemeClr w14:val="tx1"/>
            </w14:solidFill>
          </w14:textFill>
        </w:rPr>
        <w:fldChar w:fldCharType="begin"/>
      </w:r>
      <w:r>
        <w:rPr>
          <w:rFonts w:hint="eastAsia" w:ascii="宋体" w:hAnsi="宋体" w:eastAsia="宋体" w:cs="宋体"/>
          <w:b/>
          <w:bCs/>
          <w:color w:val="000000" w:themeColor="text1"/>
          <w:sz w:val="24"/>
          <w:szCs w:val="24"/>
          <w:u w:val="none"/>
          <w:lang w:val="en-US" w:eastAsia="zh-CN"/>
          <w14:textFill>
            <w14:solidFill>
              <w14:schemeClr w14:val="tx1"/>
            </w14:solidFill>
          </w14:textFill>
        </w:rPr>
        <w:instrText xml:space="preserve">TOC \o "1-3" \h \u </w:instrText>
      </w:r>
      <w:r>
        <w:rPr>
          <w:rFonts w:hint="eastAsia" w:ascii="宋体" w:hAnsi="宋体" w:eastAsia="宋体" w:cs="宋体"/>
          <w:b/>
          <w:bCs/>
          <w:color w:val="000000" w:themeColor="text1"/>
          <w:sz w:val="24"/>
          <w:szCs w:val="24"/>
          <w:u w:val="none"/>
          <w:lang w:val="en-US" w:eastAsia="zh-CN"/>
          <w14:textFill>
            <w14:solidFill>
              <w14:schemeClr w14:val="tx1"/>
            </w14:solidFill>
          </w14:textFill>
        </w:rPr>
        <w:fldChar w:fldCharType="separate"/>
      </w: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begin"/>
      </w:r>
      <w:r>
        <w:rPr>
          <w:rFonts w:hint="eastAsia" w:ascii="宋体" w:hAnsi="宋体" w:eastAsia="宋体" w:cs="宋体"/>
          <w:bCs/>
          <w:sz w:val="24"/>
          <w:szCs w:val="24"/>
          <w:lang w:val="en-US" w:eastAsia="zh-CN"/>
        </w:rPr>
        <w:instrText xml:space="preserve"> HYPERLINK \l _Toc10313 </w:instrText>
      </w:r>
      <w:r>
        <w:rPr>
          <w:rFonts w:hint="eastAsia" w:ascii="宋体" w:hAnsi="宋体" w:eastAsia="宋体" w:cs="宋体"/>
          <w:bCs/>
          <w:sz w:val="24"/>
          <w:szCs w:val="24"/>
          <w:lang w:val="en-US" w:eastAsia="zh-CN"/>
        </w:rPr>
        <w:fldChar w:fldCharType="separate"/>
      </w:r>
      <w:r>
        <w:rPr>
          <w:rFonts w:hint="eastAsia" w:ascii="宋体" w:hAnsi="宋体" w:eastAsia="宋体" w:cs="宋体"/>
          <w:bCs/>
          <w:spacing w:val="7"/>
          <w:kern w:val="2"/>
          <w:sz w:val="24"/>
          <w:szCs w:val="24"/>
          <w:lang w:val="en-US" w:eastAsia="zh-CN" w:bidi="ar-SA"/>
        </w:rPr>
        <w:t>一</w:t>
      </w:r>
      <w:r>
        <w:rPr>
          <w:rFonts w:hint="eastAsia" w:ascii="宋体" w:hAnsi="宋体" w:eastAsia="宋体" w:cs="宋体"/>
          <w:b/>
          <w:bCs w:val="0"/>
          <w:spacing w:val="7"/>
          <w:kern w:val="2"/>
          <w:sz w:val="24"/>
          <w:szCs w:val="24"/>
          <w:lang w:val="en-US" w:eastAsia="zh-CN" w:bidi="ar-SA"/>
        </w:rPr>
        <w:t>、“十三五”期间学校改革发展主要成就</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_Toc10313 \h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begin"/>
      </w:r>
      <w:r>
        <w:rPr>
          <w:rFonts w:hint="eastAsia" w:ascii="宋体" w:hAnsi="宋体" w:eastAsia="宋体" w:cs="宋体"/>
          <w:bCs/>
          <w:sz w:val="24"/>
          <w:szCs w:val="24"/>
          <w:lang w:val="en-US" w:eastAsia="zh-CN"/>
        </w:rPr>
        <w:instrText xml:space="preserve"> HYPERLINK \l _Toc11759 </w:instrText>
      </w:r>
      <w:r>
        <w:rPr>
          <w:rFonts w:hint="eastAsia" w:ascii="宋体" w:hAnsi="宋体" w:eastAsia="宋体" w:cs="宋体"/>
          <w:bCs/>
          <w:sz w:val="24"/>
          <w:szCs w:val="24"/>
          <w:lang w:val="en-US" w:eastAsia="zh-CN"/>
        </w:rPr>
        <w:fldChar w:fldCharType="separate"/>
      </w:r>
      <w:r>
        <w:rPr>
          <w:rFonts w:hint="eastAsia" w:ascii="宋体" w:hAnsi="宋体" w:eastAsia="宋体" w:cs="宋体"/>
          <w:bCs/>
          <w:spacing w:val="7"/>
          <w:kern w:val="2"/>
          <w:sz w:val="24"/>
          <w:szCs w:val="24"/>
          <w:lang w:val="en-US" w:eastAsia="zh-CN" w:bidi="ar-SA"/>
        </w:rPr>
        <w:t>（一） 人才培养结构不断优化，人才培养质量持续提升</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_Toc11759 \h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begin"/>
      </w:r>
      <w:r>
        <w:rPr>
          <w:rFonts w:hint="eastAsia" w:ascii="宋体" w:hAnsi="宋体" w:eastAsia="宋体" w:cs="宋体"/>
          <w:bCs/>
          <w:sz w:val="24"/>
          <w:szCs w:val="24"/>
          <w:lang w:val="en-US" w:eastAsia="zh-CN"/>
        </w:rPr>
        <w:instrText xml:space="preserve"> HYPERLINK \l _Toc18045 </w:instrText>
      </w:r>
      <w:r>
        <w:rPr>
          <w:rFonts w:hint="eastAsia" w:ascii="宋体" w:hAnsi="宋体" w:eastAsia="宋体" w:cs="宋体"/>
          <w:bCs/>
          <w:sz w:val="24"/>
          <w:szCs w:val="24"/>
          <w:lang w:val="en-US" w:eastAsia="zh-CN"/>
        </w:rPr>
        <w:fldChar w:fldCharType="separate"/>
      </w:r>
      <w:r>
        <w:rPr>
          <w:rFonts w:hint="eastAsia" w:ascii="宋体" w:hAnsi="宋体" w:eastAsia="宋体" w:cs="宋体"/>
          <w:bCs/>
          <w:spacing w:val="7"/>
          <w:kern w:val="2"/>
          <w:sz w:val="24"/>
          <w:szCs w:val="24"/>
          <w:lang w:val="en-US" w:eastAsia="zh-CN" w:bidi="ar-SA"/>
        </w:rPr>
        <w:t>（二） 学科专业体系持续完善，教育教学改革走向深入</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_Toc18045 \h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begin"/>
      </w:r>
      <w:r>
        <w:rPr>
          <w:rFonts w:hint="eastAsia" w:ascii="宋体" w:hAnsi="宋体" w:eastAsia="宋体" w:cs="宋体"/>
          <w:bCs/>
          <w:sz w:val="24"/>
          <w:szCs w:val="24"/>
          <w:lang w:val="en-US" w:eastAsia="zh-CN"/>
        </w:rPr>
        <w:instrText xml:space="preserve"> HYPERLINK \l _Toc17024 </w:instrText>
      </w:r>
      <w:r>
        <w:rPr>
          <w:rFonts w:hint="eastAsia" w:ascii="宋体" w:hAnsi="宋体" w:eastAsia="宋体" w:cs="宋体"/>
          <w:bCs/>
          <w:sz w:val="24"/>
          <w:szCs w:val="24"/>
          <w:lang w:val="en-US" w:eastAsia="zh-CN"/>
        </w:rPr>
        <w:fldChar w:fldCharType="separate"/>
      </w:r>
      <w:r>
        <w:rPr>
          <w:rFonts w:hint="eastAsia" w:ascii="宋体" w:hAnsi="宋体" w:eastAsia="宋体" w:cs="宋体"/>
          <w:bCs/>
          <w:spacing w:val="7"/>
          <w:kern w:val="2"/>
          <w:sz w:val="24"/>
          <w:szCs w:val="24"/>
          <w:lang w:val="en-US" w:eastAsia="zh-CN" w:bidi="ar-SA"/>
        </w:rPr>
        <w:t>（三） 坚持引进培育并举，师资队伍建设富有成效</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_Toc17024 \h </w:instrText>
      </w:r>
      <w:r>
        <w:rPr>
          <w:rFonts w:hint="eastAsia" w:ascii="宋体" w:hAnsi="宋体" w:eastAsia="宋体" w:cs="宋体"/>
          <w:sz w:val="24"/>
          <w:szCs w:val="24"/>
        </w:rPr>
        <w:fldChar w:fldCharType="separate"/>
      </w:r>
      <w:r>
        <w:rPr>
          <w:rFonts w:hint="eastAsia" w:ascii="宋体" w:hAnsi="宋体" w:eastAsia="宋体" w:cs="宋体"/>
          <w:sz w:val="24"/>
          <w:szCs w:val="24"/>
        </w:rPr>
        <w:t>2</w:t>
      </w:r>
      <w:r>
        <w:rPr>
          <w:rFonts w:hint="eastAsia" w:ascii="宋体" w:hAnsi="宋体" w:eastAsia="宋体" w:cs="宋体"/>
          <w:sz w:val="24"/>
          <w:szCs w:val="24"/>
        </w:rPr>
        <w:fldChar w:fldCharType="end"/>
      </w: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begin"/>
      </w:r>
      <w:r>
        <w:rPr>
          <w:rFonts w:hint="eastAsia" w:ascii="宋体" w:hAnsi="宋体" w:eastAsia="宋体" w:cs="宋体"/>
          <w:bCs/>
          <w:sz w:val="24"/>
          <w:szCs w:val="24"/>
          <w:lang w:val="en-US" w:eastAsia="zh-CN"/>
        </w:rPr>
        <w:instrText xml:space="preserve"> HYPERLINK \l _Toc13890 </w:instrText>
      </w:r>
      <w:r>
        <w:rPr>
          <w:rFonts w:hint="eastAsia" w:ascii="宋体" w:hAnsi="宋体" w:eastAsia="宋体" w:cs="宋体"/>
          <w:bCs/>
          <w:sz w:val="24"/>
          <w:szCs w:val="24"/>
          <w:lang w:val="en-US" w:eastAsia="zh-CN"/>
        </w:rPr>
        <w:fldChar w:fldCharType="separate"/>
      </w:r>
      <w:r>
        <w:rPr>
          <w:rFonts w:hint="eastAsia" w:ascii="宋体" w:hAnsi="宋体" w:eastAsia="宋体" w:cs="宋体"/>
          <w:bCs/>
          <w:spacing w:val="7"/>
          <w:kern w:val="2"/>
          <w:sz w:val="24"/>
          <w:szCs w:val="24"/>
          <w:lang w:val="en-US" w:eastAsia="zh-CN" w:bidi="ar-SA"/>
        </w:rPr>
        <w:t>（四） 科研水平不断提高，社会服务能力持续增强</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_Toc13890 \h </w:instrText>
      </w:r>
      <w:r>
        <w:rPr>
          <w:rFonts w:hint="eastAsia" w:ascii="宋体" w:hAnsi="宋体" w:eastAsia="宋体" w:cs="宋体"/>
          <w:sz w:val="24"/>
          <w:szCs w:val="24"/>
        </w:rPr>
        <w:fldChar w:fldCharType="separate"/>
      </w:r>
      <w:r>
        <w:rPr>
          <w:rFonts w:hint="eastAsia" w:ascii="宋体" w:hAnsi="宋体" w:eastAsia="宋体" w:cs="宋体"/>
          <w:sz w:val="24"/>
          <w:szCs w:val="24"/>
        </w:rPr>
        <w:t>3</w:t>
      </w:r>
      <w:r>
        <w:rPr>
          <w:rFonts w:hint="eastAsia" w:ascii="宋体" w:hAnsi="宋体" w:eastAsia="宋体" w:cs="宋体"/>
          <w:sz w:val="24"/>
          <w:szCs w:val="24"/>
        </w:rPr>
        <w:fldChar w:fldCharType="end"/>
      </w: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begin"/>
      </w:r>
      <w:r>
        <w:rPr>
          <w:rFonts w:hint="eastAsia" w:ascii="宋体" w:hAnsi="宋体" w:eastAsia="宋体" w:cs="宋体"/>
          <w:bCs/>
          <w:sz w:val="24"/>
          <w:szCs w:val="24"/>
          <w:lang w:val="en-US" w:eastAsia="zh-CN"/>
        </w:rPr>
        <w:instrText xml:space="preserve"> HYPERLINK \l _Toc8559 </w:instrText>
      </w:r>
      <w:r>
        <w:rPr>
          <w:rFonts w:hint="eastAsia" w:ascii="宋体" w:hAnsi="宋体" w:eastAsia="宋体" w:cs="宋体"/>
          <w:bCs/>
          <w:sz w:val="24"/>
          <w:szCs w:val="24"/>
          <w:lang w:val="en-US" w:eastAsia="zh-CN"/>
        </w:rPr>
        <w:fldChar w:fldCharType="separate"/>
      </w:r>
      <w:r>
        <w:rPr>
          <w:rFonts w:hint="eastAsia" w:ascii="宋体" w:hAnsi="宋体" w:eastAsia="宋体" w:cs="宋体"/>
          <w:bCs/>
          <w:spacing w:val="7"/>
          <w:kern w:val="2"/>
          <w:sz w:val="24"/>
          <w:szCs w:val="24"/>
          <w:lang w:val="en-US" w:eastAsia="zh-CN" w:bidi="ar-SA"/>
        </w:rPr>
        <w:t>（五） 对外合作稳步推进，国际交流合作日益广泛</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_Toc8559 \h </w:instrText>
      </w:r>
      <w:r>
        <w:rPr>
          <w:rFonts w:hint="eastAsia" w:ascii="宋体" w:hAnsi="宋体" w:eastAsia="宋体" w:cs="宋体"/>
          <w:sz w:val="24"/>
          <w:szCs w:val="24"/>
        </w:rPr>
        <w:fldChar w:fldCharType="separate"/>
      </w:r>
      <w:r>
        <w:rPr>
          <w:rFonts w:hint="eastAsia" w:ascii="宋体" w:hAnsi="宋体" w:eastAsia="宋体" w:cs="宋体"/>
          <w:sz w:val="24"/>
          <w:szCs w:val="24"/>
        </w:rPr>
        <w:t>3</w:t>
      </w:r>
      <w:r>
        <w:rPr>
          <w:rFonts w:hint="eastAsia" w:ascii="宋体" w:hAnsi="宋体" w:eastAsia="宋体" w:cs="宋体"/>
          <w:sz w:val="24"/>
          <w:szCs w:val="24"/>
        </w:rPr>
        <w:fldChar w:fldCharType="end"/>
      </w: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begin"/>
      </w:r>
      <w:r>
        <w:rPr>
          <w:rFonts w:hint="eastAsia" w:ascii="宋体" w:hAnsi="宋体" w:eastAsia="宋体" w:cs="宋体"/>
          <w:bCs/>
          <w:sz w:val="24"/>
          <w:szCs w:val="24"/>
          <w:lang w:val="en-US" w:eastAsia="zh-CN"/>
        </w:rPr>
        <w:instrText xml:space="preserve"> HYPERLINK \l _Toc13000 </w:instrText>
      </w:r>
      <w:r>
        <w:rPr>
          <w:rFonts w:hint="eastAsia" w:ascii="宋体" w:hAnsi="宋体" w:eastAsia="宋体" w:cs="宋体"/>
          <w:bCs/>
          <w:sz w:val="24"/>
          <w:szCs w:val="24"/>
          <w:lang w:val="en-US" w:eastAsia="zh-CN"/>
        </w:rPr>
        <w:fldChar w:fldCharType="separate"/>
      </w:r>
      <w:r>
        <w:rPr>
          <w:rFonts w:hint="eastAsia" w:ascii="宋体" w:hAnsi="宋体" w:eastAsia="宋体" w:cs="宋体"/>
          <w:bCs/>
          <w:spacing w:val="7"/>
          <w:kern w:val="2"/>
          <w:sz w:val="24"/>
          <w:szCs w:val="24"/>
          <w:lang w:val="en-US" w:eastAsia="zh-CN" w:bidi="ar-SA"/>
        </w:rPr>
        <w:t>（六） 办学投入不断加大，支撑保障条件日益完善</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_Toc13000 \h </w:instrText>
      </w:r>
      <w:r>
        <w:rPr>
          <w:rFonts w:hint="eastAsia" w:ascii="宋体" w:hAnsi="宋体" w:eastAsia="宋体" w:cs="宋体"/>
          <w:sz w:val="24"/>
          <w:szCs w:val="24"/>
        </w:rPr>
        <w:fldChar w:fldCharType="separate"/>
      </w:r>
      <w:r>
        <w:rPr>
          <w:rFonts w:hint="eastAsia" w:ascii="宋体" w:hAnsi="宋体" w:eastAsia="宋体" w:cs="宋体"/>
          <w:sz w:val="24"/>
          <w:szCs w:val="24"/>
        </w:rPr>
        <w:t>4</w:t>
      </w:r>
      <w:r>
        <w:rPr>
          <w:rFonts w:hint="eastAsia" w:ascii="宋体" w:hAnsi="宋体" w:eastAsia="宋体" w:cs="宋体"/>
          <w:sz w:val="24"/>
          <w:szCs w:val="24"/>
        </w:rPr>
        <w:fldChar w:fldCharType="end"/>
      </w: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begin"/>
      </w:r>
      <w:r>
        <w:rPr>
          <w:rFonts w:hint="eastAsia" w:ascii="宋体" w:hAnsi="宋体" w:eastAsia="宋体" w:cs="宋体"/>
          <w:bCs/>
          <w:sz w:val="24"/>
          <w:szCs w:val="24"/>
          <w:lang w:val="en-US" w:eastAsia="zh-CN"/>
        </w:rPr>
        <w:instrText xml:space="preserve"> HYPERLINK \l _Toc28273 </w:instrText>
      </w:r>
      <w:r>
        <w:rPr>
          <w:rFonts w:hint="eastAsia" w:ascii="宋体" w:hAnsi="宋体" w:eastAsia="宋体" w:cs="宋体"/>
          <w:bCs/>
          <w:sz w:val="24"/>
          <w:szCs w:val="24"/>
          <w:lang w:val="en-US" w:eastAsia="zh-CN"/>
        </w:rPr>
        <w:fldChar w:fldCharType="separate"/>
      </w:r>
      <w:r>
        <w:rPr>
          <w:rFonts w:hint="eastAsia" w:ascii="宋体" w:hAnsi="宋体" w:eastAsia="宋体" w:cs="宋体"/>
          <w:bCs/>
          <w:spacing w:val="7"/>
          <w:kern w:val="2"/>
          <w:sz w:val="24"/>
          <w:szCs w:val="24"/>
          <w:lang w:val="en-US" w:eastAsia="zh-CN" w:bidi="ar-SA"/>
        </w:rPr>
        <w:t>（七） 育人环境不断改善，校园文化建设特色明显</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_Toc28273 \h </w:instrText>
      </w:r>
      <w:r>
        <w:rPr>
          <w:rFonts w:hint="eastAsia" w:ascii="宋体" w:hAnsi="宋体" w:eastAsia="宋体" w:cs="宋体"/>
          <w:sz w:val="24"/>
          <w:szCs w:val="24"/>
        </w:rPr>
        <w:fldChar w:fldCharType="separate"/>
      </w:r>
      <w:r>
        <w:rPr>
          <w:rFonts w:hint="eastAsia" w:ascii="宋体" w:hAnsi="宋体" w:eastAsia="宋体" w:cs="宋体"/>
          <w:sz w:val="24"/>
          <w:szCs w:val="24"/>
        </w:rPr>
        <w:t>4</w:t>
      </w:r>
      <w:r>
        <w:rPr>
          <w:rFonts w:hint="eastAsia" w:ascii="宋体" w:hAnsi="宋体" w:eastAsia="宋体" w:cs="宋体"/>
          <w:sz w:val="24"/>
          <w:szCs w:val="24"/>
        </w:rPr>
        <w:fldChar w:fldCharType="end"/>
      </w: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begin"/>
      </w:r>
      <w:r>
        <w:rPr>
          <w:rFonts w:hint="eastAsia" w:ascii="宋体" w:hAnsi="宋体" w:eastAsia="宋体" w:cs="宋体"/>
          <w:bCs/>
          <w:sz w:val="24"/>
          <w:szCs w:val="24"/>
          <w:lang w:val="en-US" w:eastAsia="zh-CN"/>
        </w:rPr>
        <w:instrText xml:space="preserve"> HYPERLINK \l _Toc29596 </w:instrText>
      </w:r>
      <w:r>
        <w:rPr>
          <w:rFonts w:hint="eastAsia" w:ascii="宋体" w:hAnsi="宋体" w:eastAsia="宋体" w:cs="宋体"/>
          <w:bCs/>
          <w:sz w:val="24"/>
          <w:szCs w:val="24"/>
          <w:lang w:val="en-US" w:eastAsia="zh-CN"/>
        </w:rPr>
        <w:fldChar w:fldCharType="separate"/>
      </w:r>
      <w:r>
        <w:rPr>
          <w:rFonts w:hint="eastAsia" w:ascii="宋体" w:hAnsi="宋体" w:eastAsia="宋体" w:cs="宋体"/>
          <w:bCs/>
          <w:spacing w:val="7"/>
          <w:kern w:val="2"/>
          <w:sz w:val="24"/>
          <w:szCs w:val="24"/>
          <w:lang w:val="en-US" w:eastAsia="zh-CN" w:bidi="ar-SA"/>
        </w:rPr>
        <w:t>（八） 制度建设持续加强，依法治校成效显著</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_Toc29596 \h </w:instrText>
      </w:r>
      <w:r>
        <w:rPr>
          <w:rFonts w:hint="eastAsia" w:ascii="宋体" w:hAnsi="宋体" w:eastAsia="宋体" w:cs="宋体"/>
          <w:sz w:val="24"/>
          <w:szCs w:val="24"/>
        </w:rPr>
        <w:fldChar w:fldCharType="separate"/>
      </w:r>
      <w:r>
        <w:rPr>
          <w:rFonts w:hint="eastAsia" w:ascii="宋体" w:hAnsi="宋体" w:eastAsia="宋体" w:cs="宋体"/>
          <w:sz w:val="24"/>
          <w:szCs w:val="24"/>
        </w:rPr>
        <w:t>5</w:t>
      </w:r>
      <w:r>
        <w:rPr>
          <w:rFonts w:hint="eastAsia" w:ascii="宋体" w:hAnsi="宋体" w:eastAsia="宋体" w:cs="宋体"/>
          <w:sz w:val="24"/>
          <w:szCs w:val="24"/>
        </w:rPr>
        <w:fldChar w:fldCharType="end"/>
      </w: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begin"/>
      </w:r>
      <w:r>
        <w:rPr>
          <w:rFonts w:hint="eastAsia" w:ascii="宋体" w:hAnsi="宋体" w:eastAsia="宋体" w:cs="宋体"/>
          <w:bCs/>
          <w:sz w:val="24"/>
          <w:szCs w:val="24"/>
          <w:lang w:val="en-US" w:eastAsia="zh-CN"/>
        </w:rPr>
        <w:instrText xml:space="preserve"> HYPERLINK \l _Toc17568 </w:instrText>
      </w:r>
      <w:r>
        <w:rPr>
          <w:rFonts w:hint="eastAsia" w:ascii="宋体" w:hAnsi="宋体" w:eastAsia="宋体" w:cs="宋体"/>
          <w:bCs/>
          <w:sz w:val="24"/>
          <w:szCs w:val="24"/>
          <w:lang w:val="en-US" w:eastAsia="zh-CN"/>
        </w:rPr>
        <w:fldChar w:fldCharType="separate"/>
      </w:r>
      <w:r>
        <w:rPr>
          <w:rFonts w:hint="eastAsia" w:ascii="宋体" w:hAnsi="宋体" w:eastAsia="宋体" w:cs="宋体"/>
          <w:bCs/>
          <w:spacing w:val="7"/>
          <w:kern w:val="2"/>
          <w:sz w:val="24"/>
          <w:szCs w:val="24"/>
          <w:lang w:val="en-US" w:eastAsia="zh-CN" w:bidi="ar-SA"/>
        </w:rPr>
        <w:t>（九） 党建工作日益深化，思想政治工作再上台阶</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_Toc17568 \h </w:instrText>
      </w:r>
      <w:r>
        <w:rPr>
          <w:rFonts w:hint="eastAsia" w:ascii="宋体" w:hAnsi="宋体" w:eastAsia="宋体" w:cs="宋体"/>
          <w:sz w:val="24"/>
          <w:szCs w:val="24"/>
        </w:rPr>
        <w:fldChar w:fldCharType="separate"/>
      </w:r>
      <w:r>
        <w:rPr>
          <w:rFonts w:hint="eastAsia" w:ascii="宋体" w:hAnsi="宋体" w:eastAsia="宋体" w:cs="宋体"/>
          <w:sz w:val="24"/>
          <w:szCs w:val="24"/>
        </w:rPr>
        <w:t>5</w:t>
      </w:r>
      <w:r>
        <w:rPr>
          <w:rFonts w:hint="eastAsia" w:ascii="宋体" w:hAnsi="宋体" w:eastAsia="宋体" w:cs="宋体"/>
          <w:sz w:val="24"/>
          <w:szCs w:val="24"/>
        </w:rPr>
        <w:fldChar w:fldCharType="end"/>
      </w: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begin"/>
      </w:r>
      <w:r>
        <w:rPr>
          <w:rFonts w:hint="eastAsia" w:ascii="宋体" w:hAnsi="宋体" w:eastAsia="宋体" w:cs="宋体"/>
          <w:bCs/>
          <w:sz w:val="24"/>
          <w:szCs w:val="24"/>
          <w:lang w:val="en-US" w:eastAsia="zh-CN"/>
        </w:rPr>
        <w:instrText xml:space="preserve"> HYPERLINK \l _Toc19649 </w:instrText>
      </w:r>
      <w:r>
        <w:rPr>
          <w:rFonts w:hint="eastAsia" w:ascii="宋体" w:hAnsi="宋体" w:eastAsia="宋体" w:cs="宋体"/>
          <w:bCs/>
          <w:sz w:val="24"/>
          <w:szCs w:val="24"/>
          <w:lang w:val="en-US" w:eastAsia="zh-CN"/>
        </w:rPr>
        <w:fldChar w:fldCharType="separate"/>
      </w:r>
      <w:r>
        <w:rPr>
          <w:rFonts w:hint="eastAsia" w:ascii="宋体" w:hAnsi="宋体" w:eastAsia="宋体" w:cs="宋体"/>
          <w:bCs/>
          <w:spacing w:val="7"/>
          <w:kern w:val="2"/>
          <w:sz w:val="24"/>
          <w:szCs w:val="24"/>
          <w:lang w:val="en-US" w:eastAsia="zh-CN" w:bidi="ar-SA"/>
        </w:rPr>
        <w:t>二、</w:t>
      </w:r>
      <w:r>
        <w:rPr>
          <w:rFonts w:hint="eastAsia" w:ascii="宋体" w:hAnsi="宋体" w:eastAsia="宋体" w:cs="宋体"/>
          <w:b/>
          <w:bCs w:val="0"/>
          <w:spacing w:val="7"/>
          <w:kern w:val="2"/>
          <w:sz w:val="24"/>
          <w:szCs w:val="24"/>
          <w:lang w:val="en-US" w:eastAsia="zh-CN" w:bidi="ar-SA"/>
        </w:rPr>
        <w:t>“十四五”</w:t>
      </w:r>
      <w:r>
        <w:rPr>
          <w:rFonts w:hint="eastAsia" w:ascii="宋体" w:hAnsi="宋体" w:eastAsia="宋体" w:cs="宋体"/>
          <w:b/>
          <w:bCs w:val="0"/>
          <w:sz w:val="24"/>
          <w:szCs w:val="24"/>
          <w:lang w:val="en-US" w:eastAsia="zh-CN"/>
        </w:rPr>
        <w:t>时期</w:t>
      </w:r>
      <w:r>
        <w:rPr>
          <w:rFonts w:hint="eastAsia" w:ascii="宋体" w:hAnsi="宋体" w:eastAsia="宋体" w:cs="宋体"/>
          <w:b/>
          <w:bCs w:val="0"/>
          <w:spacing w:val="7"/>
          <w:kern w:val="2"/>
          <w:sz w:val="24"/>
          <w:szCs w:val="24"/>
          <w:lang w:val="en-US" w:eastAsia="zh-CN" w:bidi="ar-SA"/>
        </w:rPr>
        <w:t>学校发展面临的机遇与挑战</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_Toc19649 \h </w:instrText>
      </w:r>
      <w:r>
        <w:rPr>
          <w:rFonts w:hint="eastAsia" w:ascii="宋体" w:hAnsi="宋体" w:eastAsia="宋体" w:cs="宋体"/>
          <w:sz w:val="24"/>
          <w:szCs w:val="24"/>
        </w:rPr>
        <w:fldChar w:fldCharType="separate"/>
      </w:r>
      <w:r>
        <w:rPr>
          <w:rFonts w:hint="eastAsia" w:ascii="宋体" w:hAnsi="宋体" w:eastAsia="宋体" w:cs="宋体"/>
          <w:sz w:val="24"/>
          <w:szCs w:val="24"/>
        </w:rPr>
        <w:t>6</w:t>
      </w:r>
      <w:r>
        <w:rPr>
          <w:rFonts w:hint="eastAsia" w:ascii="宋体" w:hAnsi="宋体" w:eastAsia="宋体" w:cs="宋体"/>
          <w:sz w:val="24"/>
          <w:szCs w:val="24"/>
        </w:rPr>
        <w:fldChar w:fldCharType="end"/>
      </w: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begin"/>
      </w:r>
      <w:r>
        <w:rPr>
          <w:rFonts w:hint="eastAsia" w:ascii="宋体" w:hAnsi="宋体" w:eastAsia="宋体" w:cs="宋体"/>
          <w:bCs/>
          <w:sz w:val="24"/>
          <w:szCs w:val="24"/>
          <w:lang w:val="en-US" w:eastAsia="zh-CN"/>
        </w:rPr>
        <w:instrText xml:space="preserve"> HYPERLINK \l _Toc9158 </w:instrText>
      </w:r>
      <w:r>
        <w:rPr>
          <w:rFonts w:hint="eastAsia" w:ascii="宋体" w:hAnsi="宋体" w:eastAsia="宋体" w:cs="宋体"/>
          <w:bCs/>
          <w:sz w:val="24"/>
          <w:szCs w:val="24"/>
          <w:lang w:val="en-US" w:eastAsia="zh-CN"/>
        </w:rPr>
        <w:fldChar w:fldCharType="separate"/>
      </w:r>
      <w:r>
        <w:rPr>
          <w:rFonts w:hint="eastAsia" w:ascii="宋体" w:hAnsi="宋体" w:eastAsia="宋体" w:cs="宋体"/>
          <w:bCs/>
          <w:spacing w:val="7"/>
          <w:kern w:val="2"/>
          <w:sz w:val="24"/>
          <w:szCs w:val="24"/>
          <w:lang w:val="en-US" w:eastAsia="zh-CN" w:bidi="ar-SA"/>
        </w:rPr>
        <w:t>（一）发展机遇</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_Toc9158 \h </w:instrText>
      </w:r>
      <w:r>
        <w:rPr>
          <w:rFonts w:hint="eastAsia" w:ascii="宋体" w:hAnsi="宋体" w:eastAsia="宋体" w:cs="宋体"/>
          <w:sz w:val="24"/>
          <w:szCs w:val="24"/>
        </w:rPr>
        <w:fldChar w:fldCharType="separate"/>
      </w:r>
      <w:r>
        <w:rPr>
          <w:rFonts w:hint="eastAsia" w:ascii="宋体" w:hAnsi="宋体" w:eastAsia="宋体" w:cs="宋体"/>
          <w:sz w:val="24"/>
          <w:szCs w:val="24"/>
        </w:rPr>
        <w:t>6</w:t>
      </w:r>
      <w:r>
        <w:rPr>
          <w:rFonts w:hint="eastAsia" w:ascii="宋体" w:hAnsi="宋体" w:eastAsia="宋体" w:cs="宋体"/>
          <w:sz w:val="24"/>
          <w:szCs w:val="24"/>
        </w:rPr>
        <w:fldChar w:fldCharType="end"/>
      </w: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begin"/>
      </w:r>
      <w:r>
        <w:rPr>
          <w:rFonts w:hint="eastAsia" w:ascii="宋体" w:hAnsi="宋体" w:eastAsia="宋体" w:cs="宋体"/>
          <w:bCs/>
          <w:sz w:val="24"/>
          <w:szCs w:val="24"/>
          <w:lang w:val="en-US" w:eastAsia="zh-CN"/>
        </w:rPr>
        <w:instrText xml:space="preserve"> HYPERLINK \l _Toc31020 </w:instrText>
      </w:r>
      <w:r>
        <w:rPr>
          <w:rFonts w:hint="eastAsia" w:ascii="宋体" w:hAnsi="宋体" w:eastAsia="宋体" w:cs="宋体"/>
          <w:bCs/>
          <w:sz w:val="24"/>
          <w:szCs w:val="24"/>
          <w:lang w:val="en-US" w:eastAsia="zh-CN"/>
        </w:rPr>
        <w:fldChar w:fldCharType="separate"/>
      </w:r>
      <w:r>
        <w:rPr>
          <w:rFonts w:hint="eastAsia" w:ascii="宋体" w:hAnsi="宋体" w:eastAsia="宋体" w:cs="宋体"/>
          <w:bCs/>
          <w:spacing w:val="7"/>
          <w:kern w:val="2"/>
          <w:sz w:val="24"/>
          <w:szCs w:val="24"/>
          <w:lang w:val="en-US" w:eastAsia="zh-CN" w:bidi="ar-SA"/>
        </w:rPr>
        <w:t>（二）问题与挑战</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_Toc31020 \h </w:instrText>
      </w:r>
      <w:r>
        <w:rPr>
          <w:rFonts w:hint="eastAsia" w:ascii="宋体" w:hAnsi="宋体" w:eastAsia="宋体" w:cs="宋体"/>
          <w:sz w:val="24"/>
          <w:szCs w:val="24"/>
        </w:rPr>
        <w:fldChar w:fldCharType="separate"/>
      </w:r>
      <w:r>
        <w:rPr>
          <w:rFonts w:hint="eastAsia" w:ascii="宋体" w:hAnsi="宋体" w:eastAsia="宋体" w:cs="宋体"/>
          <w:sz w:val="24"/>
          <w:szCs w:val="24"/>
        </w:rPr>
        <w:t>6</w:t>
      </w:r>
      <w:r>
        <w:rPr>
          <w:rFonts w:hint="eastAsia" w:ascii="宋体" w:hAnsi="宋体" w:eastAsia="宋体" w:cs="宋体"/>
          <w:sz w:val="24"/>
          <w:szCs w:val="24"/>
        </w:rPr>
        <w:fldChar w:fldCharType="end"/>
      </w: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begin"/>
      </w:r>
      <w:r>
        <w:rPr>
          <w:rFonts w:hint="eastAsia" w:ascii="宋体" w:hAnsi="宋体" w:eastAsia="宋体" w:cs="宋体"/>
          <w:bCs/>
          <w:sz w:val="24"/>
          <w:szCs w:val="24"/>
          <w:lang w:val="en-US" w:eastAsia="zh-CN"/>
        </w:rPr>
        <w:instrText xml:space="preserve"> HYPERLINK \l _Toc1415 </w:instrText>
      </w:r>
      <w:r>
        <w:rPr>
          <w:rFonts w:hint="eastAsia" w:ascii="宋体" w:hAnsi="宋体" w:eastAsia="宋体" w:cs="宋体"/>
          <w:bCs/>
          <w:sz w:val="24"/>
          <w:szCs w:val="24"/>
          <w:lang w:val="en-US" w:eastAsia="zh-CN"/>
        </w:rPr>
        <w:fldChar w:fldCharType="separate"/>
      </w:r>
      <w:r>
        <w:rPr>
          <w:rFonts w:hint="eastAsia" w:ascii="宋体" w:hAnsi="宋体" w:eastAsia="宋体" w:cs="宋体"/>
          <w:bCs/>
          <w:sz w:val="24"/>
          <w:szCs w:val="24"/>
          <w:lang w:val="en-US" w:eastAsia="zh-CN"/>
        </w:rPr>
        <w:t>三</w:t>
      </w:r>
      <w:r>
        <w:rPr>
          <w:rFonts w:hint="eastAsia" w:ascii="宋体" w:hAnsi="宋体" w:eastAsia="宋体" w:cs="宋体"/>
          <w:b/>
          <w:bCs w:val="0"/>
          <w:sz w:val="24"/>
          <w:szCs w:val="24"/>
          <w:lang w:val="en-US" w:eastAsia="zh-CN"/>
        </w:rPr>
        <w:t>、“十四五”时期学校发展的指导思想、发展定位、发展思路、发展目标</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_Toc1415 \h </w:instrText>
      </w:r>
      <w:r>
        <w:rPr>
          <w:rFonts w:hint="eastAsia" w:ascii="宋体" w:hAnsi="宋体" w:eastAsia="宋体" w:cs="宋体"/>
          <w:sz w:val="24"/>
          <w:szCs w:val="24"/>
        </w:rPr>
        <w:fldChar w:fldCharType="separate"/>
      </w:r>
      <w:r>
        <w:rPr>
          <w:rFonts w:hint="eastAsia" w:ascii="宋体" w:hAnsi="宋体" w:eastAsia="宋体" w:cs="宋体"/>
          <w:sz w:val="24"/>
          <w:szCs w:val="24"/>
        </w:rPr>
        <w:t>8</w:t>
      </w:r>
      <w:r>
        <w:rPr>
          <w:rFonts w:hint="eastAsia" w:ascii="宋体" w:hAnsi="宋体" w:eastAsia="宋体" w:cs="宋体"/>
          <w:sz w:val="24"/>
          <w:szCs w:val="24"/>
        </w:rPr>
        <w:fldChar w:fldCharType="end"/>
      </w: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begin"/>
      </w:r>
      <w:r>
        <w:rPr>
          <w:rFonts w:hint="eastAsia" w:ascii="宋体" w:hAnsi="宋体" w:eastAsia="宋体" w:cs="宋体"/>
          <w:bCs/>
          <w:sz w:val="24"/>
          <w:szCs w:val="24"/>
          <w:lang w:val="en-US" w:eastAsia="zh-CN"/>
        </w:rPr>
        <w:instrText xml:space="preserve"> HYPERLINK \l _Toc9984 </w:instrText>
      </w:r>
      <w:r>
        <w:rPr>
          <w:rFonts w:hint="eastAsia" w:ascii="宋体" w:hAnsi="宋体" w:eastAsia="宋体" w:cs="宋体"/>
          <w:bCs/>
          <w:sz w:val="24"/>
          <w:szCs w:val="24"/>
          <w:lang w:val="en-US" w:eastAsia="zh-CN"/>
        </w:rPr>
        <w:fldChar w:fldCharType="separate"/>
      </w:r>
      <w:r>
        <w:rPr>
          <w:rFonts w:hint="eastAsia" w:ascii="宋体" w:hAnsi="宋体" w:eastAsia="宋体" w:cs="宋体"/>
          <w:bCs/>
          <w:sz w:val="24"/>
          <w:szCs w:val="24"/>
          <w:lang w:val="en-US" w:eastAsia="zh-CN"/>
        </w:rPr>
        <w:t>（一）指导思想</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_Toc9984 \h </w:instrText>
      </w:r>
      <w:r>
        <w:rPr>
          <w:rFonts w:hint="eastAsia" w:ascii="宋体" w:hAnsi="宋体" w:eastAsia="宋体" w:cs="宋体"/>
          <w:sz w:val="24"/>
          <w:szCs w:val="24"/>
        </w:rPr>
        <w:fldChar w:fldCharType="separate"/>
      </w:r>
      <w:r>
        <w:rPr>
          <w:rFonts w:hint="eastAsia" w:ascii="宋体" w:hAnsi="宋体" w:eastAsia="宋体" w:cs="宋体"/>
          <w:sz w:val="24"/>
          <w:szCs w:val="24"/>
        </w:rPr>
        <w:t>8</w:t>
      </w:r>
      <w:r>
        <w:rPr>
          <w:rFonts w:hint="eastAsia" w:ascii="宋体" w:hAnsi="宋体" w:eastAsia="宋体" w:cs="宋体"/>
          <w:sz w:val="24"/>
          <w:szCs w:val="24"/>
        </w:rPr>
        <w:fldChar w:fldCharType="end"/>
      </w: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begin"/>
      </w:r>
      <w:r>
        <w:rPr>
          <w:rFonts w:hint="eastAsia" w:ascii="宋体" w:hAnsi="宋体" w:eastAsia="宋体" w:cs="宋体"/>
          <w:bCs/>
          <w:sz w:val="24"/>
          <w:szCs w:val="24"/>
          <w:lang w:val="en-US" w:eastAsia="zh-CN"/>
        </w:rPr>
        <w:instrText xml:space="preserve"> HYPERLINK \l _Toc27245 </w:instrText>
      </w:r>
      <w:r>
        <w:rPr>
          <w:rFonts w:hint="eastAsia" w:ascii="宋体" w:hAnsi="宋体" w:eastAsia="宋体" w:cs="宋体"/>
          <w:bCs/>
          <w:sz w:val="24"/>
          <w:szCs w:val="24"/>
          <w:lang w:val="en-US" w:eastAsia="zh-CN"/>
        </w:rPr>
        <w:fldChar w:fldCharType="separate"/>
      </w:r>
      <w:r>
        <w:rPr>
          <w:rFonts w:hint="eastAsia" w:ascii="宋体" w:hAnsi="宋体" w:eastAsia="宋体" w:cs="宋体"/>
          <w:bCs/>
          <w:sz w:val="24"/>
          <w:szCs w:val="24"/>
          <w:lang w:val="en-US" w:eastAsia="zh-CN"/>
        </w:rPr>
        <w:t>（二）发展定位</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_Toc27245 \h </w:instrText>
      </w:r>
      <w:r>
        <w:rPr>
          <w:rFonts w:hint="eastAsia" w:ascii="宋体" w:hAnsi="宋体" w:eastAsia="宋体" w:cs="宋体"/>
          <w:sz w:val="24"/>
          <w:szCs w:val="24"/>
        </w:rPr>
        <w:fldChar w:fldCharType="separate"/>
      </w:r>
      <w:r>
        <w:rPr>
          <w:rFonts w:hint="eastAsia" w:ascii="宋体" w:hAnsi="宋体" w:eastAsia="宋体" w:cs="宋体"/>
          <w:sz w:val="24"/>
          <w:szCs w:val="24"/>
        </w:rPr>
        <w:t>8</w:t>
      </w:r>
      <w:r>
        <w:rPr>
          <w:rFonts w:hint="eastAsia" w:ascii="宋体" w:hAnsi="宋体" w:eastAsia="宋体" w:cs="宋体"/>
          <w:sz w:val="24"/>
          <w:szCs w:val="24"/>
        </w:rPr>
        <w:fldChar w:fldCharType="end"/>
      </w: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begin"/>
      </w:r>
      <w:r>
        <w:rPr>
          <w:rFonts w:hint="eastAsia" w:ascii="宋体" w:hAnsi="宋体" w:eastAsia="宋体" w:cs="宋体"/>
          <w:bCs/>
          <w:sz w:val="24"/>
          <w:szCs w:val="24"/>
          <w:lang w:val="en-US" w:eastAsia="zh-CN"/>
        </w:rPr>
        <w:instrText xml:space="preserve"> HYPERLINK \l _Toc30286 </w:instrText>
      </w:r>
      <w:r>
        <w:rPr>
          <w:rFonts w:hint="eastAsia" w:ascii="宋体" w:hAnsi="宋体" w:eastAsia="宋体" w:cs="宋体"/>
          <w:bCs/>
          <w:sz w:val="24"/>
          <w:szCs w:val="24"/>
          <w:lang w:val="en-US" w:eastAsia="zh-CN"/>
        </w:rPr>
        <w:fldChar w:fldCharType="separate"/>
      </w:r>
      <w:r>
        <w:rPr>
          <w:rFonts w:hint="eastAsia" w:ascii="宋体" w:hAnsi="宋体" w:eastAsia="宋体" w:cs="宋体"/>
          <w:bCs/>
          <w:sz w:val="24"/>
          <w:szCs w:val="24"/>
          <w:lang w:val="en-US" w:eastAsia="zh-CN"/>
        </w:rPr>
        <w:t>1.</w:t>
      </w:r>
      <w:r>
        <w:rPr>
          <w:rFonts w:hint="eastAsia" w:ascii="宋体" w:hAnsi="宋体" w:eastAsia="宋体" w:cs="宋体"/>
          <w:bCs/>
          <w:sz w:val="24"/>
          <w:szCs w:val="24"/>
        </w:rPr>
        <w:t>办学</w:t>
      </w:r>
      <w:r>
        <w:rPr>
          <w:rFonts w:hint="eastAsia" w:ascii="宋体" w:hAnsi="宋体" w:eastAsia="宋体" w:cs="宋体"/>
          <w:bCs/>
          <w:sz w:val="24"/>
          <w:szCs w:val="24"/>
          <w:lang w:eastAsia="zh-CN"/>
        </w:rPr>
        <w:t>总体</w:t>
      </w:r>
      <w:r>
        <w:rPr>
          <w:rFonts w:hint="eastAsia" w:ascii="宋体" w:hAnsi="宋体" w:eastAsia="宋体" w:cs="宋体"/>
          <w:bCs/>
          <w:sz w:val="24"/>
          <w:szCs w:val="24"/>
        </w:rPr>
        <w:t>定位</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_Toc30286 \h </w:instrText>
      </w:r>
      <w:r>
        <w:rPr>
          <w:rFonts w:hint="eastAsia" w:ascii="宋体" w:hAnsi="宋体" w:eastAsia="宋体" w:cs="宋体"/>
          <w:sz w:val="24"/>
          <w:szCs w:val="24"/>
        </w:rPr>
        <w:fldChar w:fldCharType="separate"/>
      </w:r>
      <w:r>
        <w:rPr>
          <w:rFonts w:hint="eastAsia" w:ascii="宋体" w:hAnsi="宋体" w:eastAsia="宋体" w:cs="宋体"/>
          <w:sz w:val="24"/>
          <w:szCs w:val="24"/>
        </w:rPr>
        <w:t>8</w:t>
      </w:r>
      <w:r>
        <w:rPr>
          <w:rFonts w:hint="eastAsia" w:ascii="宋体" w:hAnsi="宋体" w:eastAsia="宋体" w:cs="宋体"/>
          <w:sz w:val="24"/>
          <w:szCs w:val="24"/>
        </w:rPr>
        <w:fldChar w:fldCharType="end"/>
      </w: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begin"/>
      </w:r>
      <w:r>
        <w:rPr>
          <w:rFonts w:hint="eastAsia" w:ascii="宋体" w:hAnsi="宋体" w:eastAsia="宋体" w:cs="宋体"/>
          <w:bCs/>
          <w:sz w:val="24"/>
          <w:szCs w:val="24"/>
          <w:lang w:val="en-US" w:eastAsia="zh-CN"/>
        </w:rPr>
        <w:instrText xml:space="preserve"> HYPERLINK \l _Toc10015 </w:instrText>
      </w:r>
      <w:r>
        <w:rPr>
          <w:rFonts w:hint="eastAsia" w:ascii="宋体" w:hAnsi="宋体" w:eastAsia="宋体" w:cs="宋体"/>
          <w:bCs/>
          <w:sz w:val="24"/>
          <w:szCs w:val="24"/>
          <w:lang w:val="en-US" w:eastAsia="zh-CN"/>
        </w:rPr>
        <w:fldChar w:fldCharType="separate"/>
      </w:r>
      <w:r>
        <w:rPr>
          <w:rFonts w:hint="eastAsia" w:ascii="宋体" w:hAnsi="宋体" w:eastAsia="宋体" w:cs="宋体"/>
          <w:bCs/>
          <w:sz w:val="24"/>
          <w:szCs w:val="24"/>
          <w:lang w:val="en-US" w:eastAsia="zh-CN"/>
        </w:rPr>
        <w:t>2</w:t>
      </w:r>
      <w:r>
        <w:rPr>
          <w:rFonts w:hint="eastAsia" w:ascii="宋体" w:hAnsi="宋体" w:eastAsia="宋体" w:cs="宋体"/>
          <w:bCs/>
          <w:sz w:val="24"/>
          <w:szCs w:val="24"/>
        </w:rPr>
        <w:t>.发展目标定位</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_Toc10015 \h </w:instrText>
      </w:r>
      <w:r>
        <w:rPr>
          <w:rFonts w:hint="eastAsia" w:ascii="宋体" w:hAnsi="宋体" w:eastAsia="宋体" w:cs="宋体"/>
          <w:sz w:val="24"/>
          <w:szCs w:val="24"/>
        </w:rPr>
        <w:fldChar w:fldCharType="separate"/>
      </w:r>
      <w:r>
        <w:rPr>
          <w:rFonts w:hint="eastAsia" w:ascii="宋体" w:hAnsi="宋体" w:eastAsia="宋体" w:cs="宋体"/>
          <w:sz w:val="24"/>
          <w:szCs w:val="24"/>
        </w:rPr>
        <w:t>8</w:t>
      </w:r>
      <w:r>
        <w:rPr>
          <w:rFonts w:hint="eastAsia" w:ascii="宋体" w:hAnsi="宋体" w:eastAsia="宋体" w:cs="宋体"/>
          <w:sz w:val="24"/>
          <w:szCs w:val="24"/>
        </w:rPr>
        <w:fldChar w:fldCharType="end"/>
      </w: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begin"/>
      </w:r>
      <w:r>
        <w:rPr>
          <w:rFonts w:hint="eastAsia" w:ascii="宋体" w:hAnsi="宋体" w:eastAsia="宋体" w:cs="宋体"/>
          <w:bCs/>
          <w:sz w:val="24"/>
          <w:szCs w:val="24"/>
          <w:lang w:val="en-US" w:eastAsia="zh-CN"/>
        </w:rPr>
        <w:instrText xml:space="preserve"> HYPERLINK \l _Toc21119 </w:instrText>
      </w:r>
      <w:r>
        <w:rPr>
          <w:rFonts w:hint="eastAsia" w:ascii="宋体" w:hAnsi="宋体" w:eastAsia="宋体" w:cs="宋体"/>
          <w:bCs/>
          <w:sz w:val="24"/>
          <w:szCs w:val="24"/>
          <w:lang w:val="en-US" w:eastAsia="zh-CN"/>
        </w:rPr>
        <w:fldChar w:fldCharType="separate"/>
      </w:r>
      <w:r>
        <w:rPr>
          <w:rFonts w:hint="eastAsia" w:ascii="宋体" w:hAnsi="宋体" w:eastAsia="宋体" w:cs="宋体"/>
          <w:bCs/>
          <w:sz w:val="24"/>
          <w:szCs w:val="24"/>
          <w:lang w:val="en-US" w:eastAsia="zh-CN"/>
        </w:rPr>
        <w:t>3</w:t>
      </w:r>
      <w:r>
        <w:rPr>
          <w:rFonts w:hint="eastAsia" w:ascii="宋体" w:hAnsi="宋体" w:eastAsia="宋体" w:cs="宋体"/>
          <w:bCs/>
          <w:sz w:val="24"/>
          <w:szCs w:val="24"/>
        </w:rPr>
        <w:t>.</w:t>
      </w:r>
      <w:r>
        <w:rPr>
          <w:rFonts w:hint="eastAsia" w:ascii="宋体" w:hAnsi="宋体" w:eastAsia="宋体" w:cs="宋体"/>
          <w:bCs/>
          <w:sz w:val="24"/>
          <w:szCs w:val="24"/>
          <w:lang w:eastAsia="zh-CN"/>
        </w:rPr>
        <w:t>办学</w:t>
      </w:r>
      <w:r>
        <w:rPr>
          <w:rFonts w:hint="eastAsia" w:ascii="宋体" w:hAnsi="宋体" w:eastAsia="宋体" w:cs="宋体"/>
          <w:bCs/>
          <w:sz w:val="24"/>
          <w:szCs w:val="24"/>
        </w:rPr>
        <w:t>层次定位</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_Toc21119 \h </w:instrText>
      </w:r>
      <w:r>
        <w:rPr>
          <w:rFonts w:hint="eastAsia" w:ascii="宋体" w:hAnsi="宋体" w:eastAsia="宋体" w:cs="宋体"/>
          <w:sz w:val="24"/>
          <w:szCs w:val="24"/>
        </w:rPr>
        <w:fldChar w:fldCharType="separate"/>
      </w:r>
      <w:r>
        <w:rPr>
          <w:rFonts w:hint="eastAsia" w:ascii="宋体" w:hAnsi="宋体" w:eastAsia="宋体" w:cs="宋体"/>
          <w:sz w:val="24"/>
          <w:szCs w:val="24"/>
        </w:rPr>
        <w:t>8</w:t>
      </w:r>
      <w:r>
        <w:rPr>
          <w:rFonts w:hint="eastAsia" w:ascii="宋体" w:hAnsi="宋体" w:eastAsia="宋体" w:cs="宋体"/>
          <w:sz w:val="24"/>
          <w:szCs w:val="24"/>
        </w:rPr>
        <w:fldChar w:fldCharType="end"/>
      </w: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begin"/>
      </w:r>
      <w:r>
        <w:rPr>
          <w:rFonts w:hint="eastAsia" w:ascii="宋体" w:hAnsi="宋体" w:eastAsia="宋体" w:cs="宋体"/>
          <w:bCs/>
          <w:sz w:val="24"/>
          <w:szCs w:val="24"/>
          <w:lang w:val="en-US" w:eastAsia="zh-CN"/>
        </w:rPr>
        <w:instrText xml:space="preserve"> HYPERLINK \l _Toc9563 </w:instrText>
      </w:r>
      <w:r>
        <w:rPr>
          <w:rFonts w:hint="eastAsia" w:ascii="宋体" w:hAnsi="宋体" w:eastAsia="宋体" w:cs="宋体"/>
          <w:bCs/>
          <w:sz w:val="24"/>
          <w:szCs w:val="24"/>
          <w:lang w:val="en-US" w:eastAsia="zh-CN"/>
        </w:rPr>
        <w:fldChar w:fldCharType="separate"/>
      </w:r>
      <w:r>
        <w:rPr>
          <w:rFonts w:hint="eastAsia" w:ascii="宋体" w:hAnsi="宋体" w:eastAsia="宋体" w:cs="宋体"/>
          <w:bCs/>
          <w:sz w:val="24"/>
          <w:szCs w:val="24"/>
          <w:lang w:val="en-US" w:eastAsia="zh-CN"/>
        </w:rPr>
        <w:t>4</w:t>
      </w:r>
      <w:r>
        <w:rPr>
          <w:rFonts w:hint="eastAsia" w:ascii="宋体" w:hAnsi="宋体" w:eastAsia="宋体" w:cs="宋体"/>
          <w:bCs/>
          <w:sz w:val="24"/>
          <w:szCs w:val="24"/>
        </w:rPr>
        <w:t>.培养目标定位</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_Toc9563 \h </w:instrText>
      </w:r>
      <w:r>
        <w:rPr>
          <w:rFonts w:hint="eastAsia" w:ascii="宋体" w:hAnsi="宋体" w:eastAsia="宋体" w:cs="宋体"/>
          <w:sz w:val="24"/>
          <w:szCs w:val="24"/>
        </w:rPr>
        <w:fldChar w:fldCharType="separate"/>
      </w:r>
      <w:r>
        <w:rPr>
          <w:rFonts w:hint="eastAsia" w:ascii="宋体" w:hAnsi="宋体" w:eastAsia="宋体" w:cs="宋体"/>
          <w:sz w:val="24"/>
          <w:szCs w:val="24"/>
        </w:rPr>
        <w:t>9</w:t>
      </w:r>
      <w:r>
        <w:rPr>
          <w:rFonts w:hint="eastAsia" w:ascii="宋体" w:hAnsi="宋体" w:eastAsia="宋体" w:cs="宋体"/>
          <w:sz w:val="24"/>
          <w:szCs w:val="24"/>
        </w:rPr>
        <w:fldChar w:fldCharType="end"/>
      </w: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begin"/>
      </w:r>
      <w:r>
        <w:rPr>
          <w:rFonts w:hint="eastAsia" w:ascii="宋体" w:hAnsi="宋体" w:eastAsia="宋体" w:cs="宋体"/>
          <w:bCs/>
          <w:sz w:val="24"/>
          <w:szCs w:val="24"/>
          <w:lang w:val="en-US" w:eastAsia="zh-CN"/>
        </w:rPr>
        <w:instrText xml:space="preserve"> HYPERLINK \l _Toc17022 </w:instrText>
      </w:r>
      <w:r>
        <w:rPr>
          <w:rFonts w:hint="eastAsia" w:ascii="宋体" w:hAnsi="宋体" w:eastAsia="宋体" w:cs="宋体"/>
          <w:bCs/>
          <w:sz w:val="24"/>
          <w:szCs w:val="24"/>
          <w:lang w:val="en-US" w:eastAsia="zh-CN"/>
        </w:rPr>
        <w:fldChar w:fldCharType="separate"/>
      </w:r>
      <w:r>
        <w:rPr>
          <w:rFonts w:hint="eastAsia" w:ascii="宋体" w:hAnsi="宋体" w:eastAsia="宋体" w:cs="宋体"/>
          <w:bCs/>
          <w:sz w:val="24"/>
          <w:szCs w:val="24"/>
          <w:lang w:val="en-US" w:eastAsia="zh-CN"/>
        </w:rPr>
        <w:t>5</w:t>
      </w:r>
      <w:r>
        <w:rPr>
          <w:rFonts w:hint="eastAsia" w:ascii="宋体" w:hAnsi="宋体" w:eastAsia="宋体" w:cs="宋体"/>
          <w:bCs/>
          <w:sz w:val="24"/>
          <w:szCs w:val="24"/>
          <w:lang w:eastAsia="zh-CN"/>
        </w:rPr>
        <w:t>.学科专业定位</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_Toc17022 \h </w:instrText>
      </w:r>
      <w:r>
        <w:rPr>
          <w:rFonts w:hint="eastAsia" w:ascii="宋体" w:hAnsi="宋体" w:eastAsia="宋体" w:cs="宋体"/>
          <w:sz w:val="24"/>
          <w:szCs w:val="24"/>
        </w:rPr>
        <w:fldChar w:fldCharType="separate"/>
      </w:r>
      <w:r>
        <w:rPr>
          <w:rFonts w:hint="eastAsia" w:ascii="宋体" w:hAnsi="宋体" w:eastAsia="宋体" w:cs="宋体"/>
          <w:sz w:val="24"/>
          <w:szCs w:val="24"/>
        </w:rPr>
        <w:t>9</w:t>
      </w:r>
      <w:r>
        <w:rPr>
          <w:rFonts w:hint="eastAsia" w:ascii="宋体" w:hAnsi="宋体" w:eastAsia="宋体" w:cs="宋体"/>
          <w:sz w:val="24"/>
          <w:szCs w:val="24"/>
        </w:rPr>
        <w:fldChar w:fldCharType="end"/>
      </w: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begin"/>
      </w:r>
      <w:r>
        <w:rPr>
          <w:rFonts w:hint="eastAsia" w:ascii="宋体" w:hAnsi="宋体" w:eastAsia="宋体" w:cs="宋体"/>
          <w:bCs/>
          <w:sz w:val="24"/>
          <w:szCs w:val="24"/>
          <w:lang w:val="en-US" w:eastAsia="zh-CN"/>
        </w:rPr>
        <w:instrText xml:space="preserve"> HYPERLINK \l _Toc11230 </w:instrText>
      </w:r>
      <w:r>
        <w:rPr>
          <w:rFonts w:hint="eastAsia" w:ascii="宋体" w:hAnsi="宋体" w:eastAsia="宋体" w:cs="宋体"/>
          <w:bCs/>
          <w:sz w:val="24"/>
          <w:szCs w:val="24"/>
          <w:lang w:val="en-US" w:eastAsia="zh-CN"/>
        </w:rPr>
        <w:fldChar w:fldCharType="separate"/>
      </w:r>
      <w:r>
        <w:rPr>
          <w:rFonts w:hint="eastAsia" w:ascii="宋体" w:hAnsi="宋体" w:eastAsia="宋体" w:cs="宋体"/>
          <w:bCs/>
          <w:sz w:val="24"/>
          <w:szCs w:val="24"/>
          <w:lang w:val="en-US" w:eastAsia="zh-CN"/>
        </w:rPr>
        <w:t>6</w:t>
      </w:r>
      <w:r>
        <w:rPr>
          <w:rFonts w:hint="eastAsia" w:ascii="宋体" w:hAnsi="宋体" w:eastAsia="宋体" w:cs="宋体"/>
          <w:bCs/>
          <w:sz w:val="24"/>
          <w:szCs w:val="24"/>
        </w:rPr>
        <w:t>.服务面向定位</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_Toc11230 \h </w:instrText>
      </w:r>
      <w:r>
        <w:rPr>
          <w:rFonts w:hint="eastAsia" w:ascii="宋体" w:hAnsi="宋体" w:eastAsia="宋体" w:cs="宋体"/>
          <w:sz w:val="24"/>
          <w:szCs w:val="24"/>
        </w:rPr>
        <w:fldChar w:fldCharType="separate"/>
      </w:r>
      <w:r>
        <w:rPr>
          <w:rFonts w:hint="eastAsia" w:ascii="宋体" w:hAnsi="宋体" w:eastAsia="宋体" w:cs="宋体"/>
          <w:sz w:val="24"/>
          <w:szCs w:val="24"/>
        </w:rPr>
        <w:t>9</w:t>
      </w:r>
      <w:r>
        <w:rPr>
          <w:rFonts w:hint="eastAsia" w:ascii="宋体" w:hAnsi="宋体" w:eastAsia="宋体" w:cs="宋体"/>
          <w:sz w:val="24"/>
          <w:szCs w:val="24"/>
        </w:rPr>
        <w:fldChar w:fldCharType="end"/>
      </w: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begin"/>
      </w:r>
      <w:r>
        <w:rPr>
          <w:rFonts w:hint="eastAsia" w:ascii="宋体" w:hAnsi="宋体" w:eastAsia="宋体" w:cs="宋体"/>
          <w:bCs/>
          <w:sz w:val="24"/>
          <w:szCs w:val="24"/>
          <w:lang w:val="en-US" w:eastAsia="zh-CN"/>
        </w:rPr>
        <w:instrText xml:space="preserve"> HYPERLINK \l _Toc26517 </w:instrText>
      </w:r>
      <w:r>
        <w:rPr>
          <w:rFonts w:hint="eastAsia" w:ascii="宋体" w:hAnsi="宋体" w:eastAsia="宋体" w:cs="宋体"/>
          <w:bCs/>
          <w:sz w:val="24"/>
          <w:szCs w:val="24"/>
          <w:lang w:val="en-US" w:eastAsia="zh-CN"/>
        </w:rPr>
        <w:fldChar w:fldCharType="separate"/>
      </w:r>
      <w:r>
        <w:rPr>
          <w:rFonts w:hint="eastAsia" w:ascii="宋体" w:hAnsi="宋体" w:eastAsia="宋体" w:cs="宋体"/>
          <w:bCs/>
          <w:sz w:val="24"/>
          <w:szCs w:val="24"/>
          <w:lang w:val="en-US" w:eastAsia="zh-CN"/>
        </w:rPr>
        <w:t>（三）发展思路</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_Toc26517 \h </w:instrText>
      </w:r>
      <w:r>
        <w:rPr>
          <w:rFonts w:hint="eastAsia" w:ascii="宋体" w:hAnsi="宋体" w:eastAsia="宋体" w:cs="宋体"/>
          <w:sz w:val="24"/>
          <w:szCs w:val="24"/>
        </w:rPr>
        <w:fldChar w:fldCharType="separate"/>
      </w:r>
      <w:r>
        <w:rPr>
          <w:rFonts w:hint="eastAsia" w:ascii="宋体" w:hAnsi="宋体" w:eastAsia="宋体" w:cs="宋体"/>
          <w:sz w:val="24"/>
          <w:szCs w:val="24"/>
        </w:rPr>
        <w:t>9</w:t>
      </w:r>
      <w:r>
        <w:rPr>
          <w:rFonts w:hint="eastAsia" w:ascii="宋体" w:hAnsi="宋体" w:eastAsia="宋体" w:cs="宋体"/>
          <w:sz w:val="24"/>
          <w:szCs w:val="24"/>
        </w:rPr>
        <w:fldChar w:fldCharType="end"/>
      </w: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begin"/>
      </w:r>
      <w:r>
        <w:rPr>
          <w:rFonts w:hint="eastAsia" w:ascii="宋体" w:hAnsi="宋体" w:eastAsia="宋体" w:cs="宋体"/>
          <w:bCs/>
          <w:sz w:val="24"/>
          <w:szCs w:val="24"/>
          <w:lang w:val="en-US" w:eastAsia="zh-CN"/>
        </w:rPr>
        <w:instrText xml:space="preserve"> HYPERLINK \l _Toc24158 </w:instrText>
      </w:r>
      <w:r>
        <w:rPr>
          <w:rFonts w:hint="eastAsia" w:ascii="宋体" w:hAnsi="宋体" w:eastAsia="宋体" w:cs="宋体"/>
          <w:bCs/>
          <w:sz w:val="24"/>
          <w:szCs w:val="24"/>
          <w:lang w:val="en-US" w:eastAsia="zh-CN"/>
        </w:rPr>
        <w:fldChar w:fldCharType="separate"/>
      </w:r>
      <w:r>
        <w:rPr>
          <w:rFonts w:hint="eastAsia" w:ascii="宋体" w:hAnsi="宋体" w:eastAsia="宋体" w:cs="宋体"/>
          <w:bCs/>
          <w:sz w:val="24"/>
          <w:szCs w:val="24"/>
          <w:lang w:val="en-US" w:eastAsia="zh-CN"/>
        </w:rPr>
        <w:t>（四）发展目标</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_Toc24158 \h </w:instrText>
      </w:r>
      <w:r>
        <w:rPr>
          <w:rFonts w:hint="eastAsia" w:ascii="宋体" w:hAnsi="宋体" w:eastAsia="宋体" w:cs="宋体"/>
          <w:sz w:val="24"/>
          <w:szCs w:val="24"/>
        </w:rPr>
        <w:fldChar w:fldCharType="separate"/>
      </w:r>
      <w:r>
        <w:rPr>
          <w:rFonts w:hint="eastAsia" w:ascii="宋体" w:hAnsi="宋体" w:eastAsia="宋体" w:cs="宋体"/>
          <w:sz w:val="24"/>
          <w:szCs w:val="24"/>
        </w:rPr>
        <w:t>10</w:t>
      </w:r>
      <w:r>
        <w:rPr>
          <w:rFonts w:hint="eastAsia" w:ascii="宋体" w:hAnsi="宋体" w:eastAsia="宋体" w:cs="宋体"/>
          <w:sz w:val="24"/>
          <w:szCs w:val="24"/>
        </w:rPr>
        <w:fldChar w:fldCharType="end"/>
      </w: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begin"/>
      </w:r>
      <w:r>
        <w:rPr>
          <w:rFonts w:hint="eastAsia" w:ascii="宋体" w:hAnsi="宋体" w:eastAsia="宋体" w:cs="宋体"/>
          <w:bCs/>
          <w:sz w:val="24"/>
          <w:szCs w:val="24"/>
          <w:lang w:val="en-US" w:eastAsia="zh-CN"/>
        </w:rPr>
        <w:instrText xml:space="preserve"> HYPERLINK \l _Toc2022 </w:instrText>
      </w:r>
      <w:r>
        <w:rPr>
          <w:rFonts w:hint="eastAsia" w:ascii="宋体" w:hAnsi="宋体" w:eastAsia="宋体" w:cs="宋体"/>
          <w:bCs/>
          <w:sz w:val="24"/>
          <w:szCs w:val="24"/>
          <w:lang w:val="en-US" w:eastAsia="zh-CN"/>
        </w:rPr>
        <w:fldChar w:fldCharType="separate"/>
      </w:r>
      <w:r>
        <w:rPr>
          <w:rFonts w:hint="eastAsia" w:ascii="宋体" w:hAnsi="宋体" w:eastAsia="宋体" w:cs="宋体"/>
          <w:kern w:val="0"/>
          <w:sz w:val="24"/>
          <w:szCs w:val="24"/>
          <w:lang w:val="en-US" w:eastAsia="zh-CN" w:bidi="ar"/>
        </w:rPr>
        <w:t>1.</w:t>
      </w:r>
      <w:r>
        <w:rPr>
          <w:rFonts w:hint="eastAsia" w:ascii="宋体" w:hAnsi="宋体" w:eastAsia="宋体" w:cs="宋体"/>
          <w:bCs/>
          <w:sz w:val="24"/>
          <w:szCs w:val="24"/>
          <w:lang w:val="en-US" w:eastAsia="zh-CN"/>
        </w:rPr>
        <w:t>“十四五”发展目标</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_Toc2022 \h </w:instrText>
      </w:r>
      <w:r>
        <w:rPr>
          <w:rFonts w:hint="eastAsia" w:ascii="宋体" w:hAnsi="宋体" w:eastAsia="宋体" w:cs="宋体"/>
          <w:sz w:val="24"/>
          <w:szCs w:val="24"/>
        </w:rPr>
        <w:fldChar w:fldCharType="separate"/>
      </w:r>
      <w:r>
        <w:rPr>
          <w:rFonts w:hint="eastAsia" w:ascii="宋体" w:hAnsi="宋体" w:eastAsia="宋体" w:cs="宋体"/>
          <w:sz w:val="24"/>
          <w:szCs w:val="24"/>
        </w:rPr>
        <w:t>10</w:t>
      </w:r>
      <w:r>
        <w:rPr>
          <w:rFonts w:hint="eastAsia" w:ascii="宋体" w:hAnsi="宋体" w:eastAsia="宋体" w:cs="宋体"/>
          <w:sz w:val="24"/>
          <w:szCs w:val="24"/>
        </w:rPr>
        <w:fldChar w:fldCharType="end"/>
      </w: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宋体" w:hAnsi="宋体" w:eastAsia="宋体" w:cs="宋体"/>
          <w:bCs/>
          <w:color w:val="000000" w:themeColor="text1"/>
          <w:sz w:val="24"/>
          <w:szCs w:val="24"/>
          <w:u w:val="none"/>
          <w:lang w:val="en-US" w:eastAsia="zh-CN"/>
          <w14:textFill>
            <w14:solidFill>
              <w14:schemeClr w14:val="tx1"/>
            </w14:solidFill>
          </w14:textFill>
        </w:rPr>
        <w:sectPr>
          <w:footerReference r:id="rId3" w:type="default"/>
          <w:pgSz w:w="11906" w:h="16838"/>
          <w:pgMar w:top="1440" w:right="1800" w:bottom="1440" w:left="1800" w:header="851" w:footer="992" w:gutter="0"/>
          <w:pgNumType w:start="1"/>
          <w:cols w:space="720" w:num="1"/>
          <w:docGrid w:type="lines" w:linePitch="312" w:charSpace="0"/>
        </w:sectPr>
      </w:pP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begin"/>
      </w:r>
      <w:r>
        <w:rPr>
          <w:rFonts w:hint="eastAsia" w:ascii="宋体" w:hAnsi="宋体" w:eastAsia="宋体" w:cs="宋体"/>
          <w:bCs/>
          <w:sz w:val="24"/>
          <w:szCs w:val="24"/>
          <w:lang w:val="en-US" w:eastAsia="zh-CN"/>
        </w:rPr>
        <w:instrText xml:space="preserve"> HYPERLINK \l _Toc10717 </w:instrText>
      </w:r>
      <w:r>
        <w:rPr>
          <w:rFonts w:hint="eastAsia" w:ascii="宋体" w:hAnsi="宋体" w:eastAsia="宋体" w:cs="宋体"/>
          <w:bCs/>
          <w:sz w:val="24"/>
          <w:szCs w:val="24"/>
          <w:lang w:val="en-US" w:eastAsia="zh-CN"/>
        </w:rPr>
        <w:fldChar w:fldCharType="separate"/>
      </w:r>
      <w:r>
        <w:rPr>
          <w:rFonts w:hint="eastAsia" w:ascii="宋体" w:hAnsi="宋体" w:eastAsia="宋体" w:cs="宋体"/>
          <w:bCs/>
          <w:sz w:val="24"/>
          <w:szCs w:val="24"/>
          <w:lang w:val="en-US" w:eastAsia="zh-CN"/>
        </w:rPr>
        <w:t>2. 中长期发展愿景</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_Toc10717 \h </w:instrText>
      </w:r>
      <w:r>
        <w:rPr>
          <w:rFonts w:hint="eastAsia" w:ascii="宋体" w:hAnsi="宋体" w:eastAsia="宋体" w:cs="宋体"/>
          <w:sz w:val="24"/>
          <w:szCs w:val="24"/>
        </w:rPr>
        <w:fldChar w:fldCharType="separate"/>
      </w:r>
      <w:r>
        <w:rPr>
          <w:rFonts w:hint="eastAsia" w:ascii="宋体" w:hAnsi="宋体" w:eastAsia="宋体" w:cs="宋体"/>
          <w:sz w:val="24"/>
          <w:szCs w:val="24"/>
        </w:rPr>
        <w:t>10</w:t>
      </w:r>
      <w:r>
        <w:rPr>
          <w:rFonts w:hint="eastAsia" w:ascii="宋体" w:hAnsi="宋体" w:eastAsia="宋体" w:cs="宋体"/>
          <w:sz w:val="24"/>
          <w:szCs w:val="24"/>
        </w:rPr>
        <w:fldChar w:fldCharType="end"/>
      </w: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begin"/>
      </w:r>
      <w:r>
        <w:rPr>
          <w:rFonts w:hint="eastAsia" w:ascii="宋体" w:hAnsi="宋体" w:eastAsia="宋体" w:cs="宋体"/>
          <w:bCs/>
          <w:sz w:val="24"/>
          <w:szCs w:val="24"/>
          <w:lang w:val="en-US" w:eastAsia="zh-CN"/>
        </w:rPr>
        <w:instrText xml:space="preserve"> HYPERLINK \l _Toc13542 </w:instrText>
      </w:r>
      <w:r>
        <w:rPr>
          <w:rFonts w:hint="eastAsia" w:ascii="宋体" w:hAnsi="宋体" w:eastAsia="宋体" w:cs="宋体"/>
          <w:bCs/>
          <w:sz w:val="24"/>
          <w:szCs w:val="24"/>
          <w:lang w:val="en-US" w:eastAsia="zh-CN"/>
        </w:rPr>
        <w:fldChar w:fldCharType="separate"/>
      </w:r>
      <w:r>
        <w:rPr>
          <w:rFonts w:hint="eastAsia" w:ascii="宋体" w:hAnsi="宋体" w:eastAsia="宋体" w:cs="宋体"/>
          <w:bCs/>
          <w:sz w:val="24"/>
          <w:szCs w:val="24"/>
          <w:lang w:val="en-US" w:eastAsia="zh-CN"/>
        </w:rPr>
        <w:t>3.“十四五”主要发展指标</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_Toc13542 \h </w:instrText>
      </w:r>
      <w:r>
        <w:rPr>
          <w:rFonts w:hint="eastAsia" w:ascii="宋体" w:hAnsi="宋体" w:eastAsia="宋体" w:cs="宋体"/>
          <w:sz w:val="24"/>
          <w:szCs w:val="24"/>
        </w:rPr>
        <w:fldChar w:fldCharType="separate"/>
      </w:r>
      <w:r>
        <w:rPr>
          <w:rFonts w:hint="eastAsia" w:ascii="宋体" w:hAnsi="宋体" w:eastAsia="宋体" w:cs="宋体"/>
          <w:sz w:val="24"/>
          <w:szCs w:val="24"/>
        </w:rPr>
        <w:t>10</w:t>
      </w:r>
      <w:r>
        <w:rPr>
          <w:rFonts w:hint="eastAsia" w:ascii="宋体" w:hAnsi="宋体" w:eastAsia="宋体" w:cs="宋体"/>
          <w:sz w:val="24"/>
          <w:szCs w:val="24"/>
        </w:rPr>
        <w:fldChar w:fldCharType="end"/>
      </w: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begin"/>
      </w:r>
      <w:r>
        <w:rPr>
          <w:rFonts w:hint="eastAsia" w:ascii="宋体" w:hAnsi="宋体" w:eastAsia="宋体" w:cs="宋体"/>
          <w:bCs/>
          <w:sz w:val="24"/>
          <w:szCs w:val="24"/>
          <w:lang w:val="en-US" w:eastAsia="zh-CN"/>
        </w:rPr>
        <w:instrText xml:space="preserve"> HYPERLINK \l _Toc8585 </w:instrText>
      </w:r>
      <w:r>
        <w:rPr>
          <w:rFonts w:hint="eastAsia" w:ascii="宋体" w:hAnsi="宋体" w:eastAsia="宋体" w:cs="宋体"/>
          <w:bCs/>
          <w:sz w:val="24"/>
          <w:szCs w:val="24"/>
          <w:lang w:val="en-US" w:eastAsia="zh-CN"/>
        </w:rPr>
        <w:fldChar w:fldCharType="separate"/>
      </w:r>
      <w:r>
        <w:rPr>
          <w:rFonts w:hint="eastAsia" w:ascii="宋体" w:hAnsi="宋体" w:eastAsia="宋体" w:cs="宋体"/>
          <w:b/>
          <w:bCs w:val="0"/>
          <w:sz w:val="24"/>
          <w:szCs w:val="24"/>
          <w:lang w:val="en-US" w:eastAsia="zh-CN"/>
        </w:rPr>
        <w:t>四、“十四五”期间学校发展的主要任务</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_Toc8585 \h </w:instrText>
      </w:r>
      <w:r>
        <w:rPr>
          <w:rFonts w:hint="eastAsia" w:ascii="宋体" w:hAnsi="宋体" w:eastAsia="宋体" w:cs="宋体"/>
          <w:sz w:val="24"/>
          <w:szCs w:val="24"/>
        </w:rPr>
        <w:fldChar w:fldCharType="separate"/>
      </w:r>
      <w:r>
        <w:rPr>
          <w:rFonts w:hint="eastAsia" w:ascii="宋体" w:hAnsi="宋体" w:eastAsia="宋体" w:cs="宋体"/>
          <w:sz w:val="24"/>
          <w:szCs w:val="24"/>
        </w:rPr>
        <w:t>13</w:t>
      </w:r>
      <w:r>
        <w:rPr>
          <w:rFonts w:hint="eastAsia" w:ascii="宋体" w:hAnsi="宋体" w:eastAsia="宋体" w:cs="宋体"/>
          <w:sz w:val="24"/>
          <w:szCs w:val="24"/>
        </w:rPr>
        <w:fldChar w:fldCharType="end"/>
      </w: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begin"/>
      </w:r>
      <w:r>
        <w:rPr>
          <w:rFonts w:hint="eastAsia" w:ascii="宋体" w:hAnsi="宋体" w:eastAsia="宋体" w:cs="宋体"/>
          <w:bCs/>
          <w:sz w:val="24"/>
          <w:szCs w:val="24"/>
          <w:lang w:val="en-US" w:eastAsia="zh-CN"/>
        </w:rPr>
        <w:instrText xml:space="preserve"> HYPERLINK \l _Toc20951 </w:instrText>
      </w:r>
      <w:r>
        <w:rPr>
          <w:rFonts w:hint="eastAsia" w:ascii="宋体" w:hAnsi="宋体" w:eastAsia="宋体" w:cs="宋体"/>
          <w:bCs/>
          <w:sz w:val="24"/>
          <w:szCs w:val="24"/>
          <w:lang w:val="en-US" w:eastAsia="zh-CN"/>
        </w:rPr>
        <w:fldChar w:fldCharType="separate"/>
      </w:r>
      <w:r>
        <w:rPr>
          <w:rFonts w:hint="eastAsia" w:ascii="宋体" w:hAnsi="宋体" w:eastAsia="宋体" w:cs="宋体"/>
          <w:bCs/>
          <w:kern w:val="0"/>
          <w:sz w:val="24"/>
          <w:szCs w:val="24"/>
          <w:lang w:val="en-US" w:eastAsia="zh-CN" w:bidi="ar"/>
        </w:rPr>
        <w:t>（一）以高质量党建为引领，激发高质量发展新动力</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_Toc20951 \h </w:instrText>
      </w:r>
      <w:r>
        <w:rPr>
          <w:rFonts w:hint="eastAsia" w:ascii="宋体" w:hAnsi="宋体" w:eastAsia="宋体" w:cs="宋体"/>
          <w:sz w:val="24"/>
          <w:szCs w:val="24"/>
        </w:rPr>
        <w:fldChar w:fldCharType="separate"/>
      </w:r>
      <w:r>
        <w:rPr>
          <w:rFonts w:hint="eastAsia" w:ascii="宋体" w:hAnsi="宋体" w:eastAsia="宋体" w:cs="宋体"/>
          <w:sz w:val="24"/>
          <w:szCs w:val="24"/>
        </w:rPr>
        <w:t>13</w:t>
      </w:r>
      <w:r>
        <w:rPr>
          <w:rFonts w:hint="eastAsia" w:ascii="宋体" w:hAnsi="宋体" w:eastAsia="宋体" w:cs="宋体"/>
          <w:sz w:val="24"/>
          <w:szCs w:val="24"/>
        </w:rPr>
        <w:fldChar w:fldCharType="end"/>
      </w: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begin"/>
      </w:r>
      <w:r>
        <w:rPr>
          <w:rFonts w:hint="eastAsia" w:ascii="宋体" w:hAnsi="宋体" w:eastAsia="宋体" w:cs="宋体"/>
          <w:bCs/>
          <w:sz w:val="24"/>
          <w:szCs w:val="24"/>
          <w:lang w:val="en-US" w:eastAsia="zh-CN"/>
        </w:rPr>
        <w:instrText xml:space="preserve"> HYPERLINK \l _Toc26617 </w:instrText>
      </w:r>
      <w:r>
        <w:rPr>
          <w:rFonts w:hint="eastAsia" w:ascii="宋体" w:hAnsi="宋体" w:eastAsia="宋体" w:cs="宋体"/>
          <w:bCs/>
          <w:sz w:val="24"/>
          <w:szCs w:val="24"/>
          <w:lang w:val="en-US" w:eastAsia="zh-CN"/>
        </w:rPr>
        <w:fldChar w:fldCharType="separate"/>
      </w:r>
      <w:r>
        <w:rPr>
          <w:rFonts w:hint="eastAsia" w:ascii="宋体" w:hAnsi="宋体" w:eastAsia="宋体" w:cs="宋体"/>
          <w:bCs/>
          <w:kern w:val="0"/>
          <w:sz w:val="24"/>
          <w:szCs w:val="24"/>
          <w:lang w:val="en-US" w:eastAsia="zh-CN" w:bidi="ar"/>
        </w:rPr>
        <w:t>1.加强学校领导班子建设，提升办学治校能力</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_Toc26617 \h </w:instrText>
      </w:r>
      <w:r>
        <w:rPr>
          <w:rFonts w:hint="eastAsia" w:ascii="宋体" w:hAnsi="宋体" w:eastAsia="宋体" w:cs="宋体"/>
          <w:sz w:val="24"/>
          <w:szCs w:val="24"/>
        </w:rPr>
        <w:fldChar w:fldCharType="separate"/>
      </w:r>
      <w:r>
        <w:rPr>
          <w:rFonts w:hint="eastAsia" w:ascii="宋体" w:hAnsi="宋体" w:eastAsia="宋体" w:cs="宋体"/>
          <w:sz w:val="24"/>
          <w:szCs w:val="24"/>
        </w:rPr>
        <w:t>13</w:t>
      </w:r>
      <w:r>
        <w:rPr>
          <w:rFonts w:hint="eastAsia" w:ascii="宋体" w:hAnsi="宋体" w:eastAsia="宋体" w:cs="宋体"/>
          <w:sz w:val="24"/>
          <w:szCs w:val="24"/>
        </w:rPr>
        <w:fldChar w:fldCharType="end"/>
      </w: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begin"/>
      </w:r>
      <w:r>
        <w:rPr>
          <w:rFonts w:hint="eastAsia" w:ascii="宋体" w:hAnsi="宋体" w:eastAsia="宋体" w:cs="宋体"/>
          <w:bCs/>
          <w:sz w:val="24"/>
          <w:szCs w:val="24"/>
          <w:lang w:val="en-US" w:eastAsia="zh-CN"/>
        </w:rPr>
        <w:instrText xml:space="preserve"> HYPERLINK \l _Toc24313 </w:instrText>
      </w:r>
      <w:r>
        <w:rPr>
          <w:rFonts w:hint="eastAsia" w:ascii="宋体" w:hAnsi="宋体" w:eastAsia="宋体" w:cs="宋体"/>
          <w:bCs/>
          <w:sz w:val="24"/>
          <w:szCs w:val="24"/>
          <w:lang w:val="en-US" w:eastAsia="zh-CN"/>
        </w:rPr>
        <w:fldChar w:fldCharType="separate"/>
      </w:r>
      <w:r>
        <w:rPr>
          <w:rFonts w:hint="eastAsia" w:ascii="宋体" w:hAnsi="宋体" w:eastAsia="宋体" w:cs="宋体"/>
          <w:bCs/>
          <w:kern w:val="0"/>
          <w:sz w:val="24"/>
          <w:szCs w:val="24"/>
          <w:lang w:val="en-US" w:eastAsia="zh-CN" w:bidi="ar"/>
        </w:rPr>
        <w:t>2.加强干部队伍建设，提升干部队伍整体素质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_Toc24313 \h </w:instrText>
      </w:r>
      <w:r>
        <w:rPr>
          <w:rFonts w:hint="eastAsia" w:ascii="宋体" w:hAnsi="宋体" w:eastAsia="宋体" w:cs="宋体"/>
          <w:sz w:val="24"/>
          <w:szCs w:val="24"/>
        </w:rPr>
        <w:fldChar w:fldCharType="separate"/>
      </w:r>
      <w:r>
        <w:rPr>
          <w:rFonts w:hint="eastAsia" w:ascii="宋体" w:hAnsi="宋体" w:eastAsia="宋体" w:cs="宋体"/>
          <w:sz w:val="24"/>
          <w:szCs w:val="24"/>
        </w:rPr>
        <w:t>14</w:t>
      </w:r>
      <w:r>
        <w:rPr>
          <w:rFonts w:hint="eastAsia" w:ascii="宋体" w:hAnsi="宋体" w:eastAsia="宋体" w:cs="宋体"/>
          <w:sz w:val="24"/>
          <w:szCs w:val="24"/>
        </w:rPr>
        <w:fldChar w:fldCharType="end"/>
      </w: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begin"/>
      </w:r>
      <w:r>
        <w:rPr>
          <w:rFonts w:hint="eastAsia" w:ascii="宋体" w:hAnsi="宋体" w:eastAsia="宋体" w:cs="宋体"/>
          <w:bCs/>
          <w:sz w:val="24"/>
          <w:szCs w:val="24"/>
          <w:lang w:val="en-US" w:eastAsia="zh-CN"/>
        </w:rPr>
        <w:instrText xml:space="preserve"> HYPERLINK \l _Toc8200 </w:instrText>
      </w:r>
      <w:r>
        <w:rPr>
          <w:rFonts w:hint="eastAsia" w:ascii="宋体" w:hAnsi="宋体" w:eastAsia="宋体" w:cs="宋体"/>
          <w:bCs/>
          <w:sz w:val="24"/>
          <w:szCs w:val="24"/>
          <w:lang w:val="en-US" w:eastAsia="zh-CN"/>
        </w:rPr>
        <w:fldChar w:fldCharType="separate"/>
      </w:r>
      <w:r>
        <w:rPr>
          <w:rFonts w:hint="eastAsia" w:ascii="宋体" w:hAnsi="宋体" w:eastAsia="宋体" w:cs="宋体"/>
          <w:bCs/>
          <w:kern w:val="0"/>
          <w:sz w:val="24"/>
          <w:szCs w:val="24"/>
          <w:lang w:val="en-US" w:eastAsia="zh-CN" w:bidi="ar"/>
        </w:rPr>
        <w:t>3.加强基层党组织建设，强化党支部战斗堡垒作用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_Toc8200 \h </w:instrText>
      </w:r>
      <w:r>
        <w:rPr>
          <w:rFonts w:hint="eastAsia" w:ascii="宋体" w:hAnsi="宋体" w:eastAsia="宋体" w:cs="宋体"/>
          <w:sz w:val="24"/>
          <w:szCs w:val="24"/>
        </w:rPr>
        <w:fldChar w:fldCharType="separate"/>
      </w:r>
      <w:r>
        <w:rPr>
          <w:rFonts w:hint="eastAsia" w:ascii="宋体" w:hAnsi="宋体" w:eastAsia="宋体" w:cs="宋体"/>
          <w:sz w:val="24"/>
          <w:szCs w:val="24"/>
        </w:rPr>
        <w:t>14</w:t>
      </w:r>
      <w:r>
        <w:rPr>
          <w:rFonts w:hint="eastAsia" w:ascii="宋体" w:hAnsi="宋体" w:eastAsia="宋体" w:cs="宋体"/>
          <w:sz w:val="24"/>
          <w:szCs w:val="24"/>
        </w:rPr>
        <w:fldChar w:fldCharType="end"/>
      </w: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begin"/>
      </w:r>
      <w:r>
        <w:rPr>
          <w:rFonts w:hint="eastAsia" w:ascii="宋体" w:hAnsi="宋体" w:eastAsia="宋体" w:cs="宋体"/>
          <w:bCs/>
          <w:sz w:val="24"/>
          <w:szCs w:val="24"/>
          <w:lang w:val="en-US" w:eastAsia="zh-CN"/>
        </w:rPr>
        <w:instrText xml:space="preserve"> HYPERLINK \l _Toc7309 </w:instrText>
      </w:r>
      <w:r>
        <w:rPr>
          <w:rFonts w:hint="eastAsia" w:ascii="宋体" w:hAnsi="宋体" w:eastAsia="宋体" w:cs="宋体"/>
          <w:bCs/>
          <w:sz w:val="24"/>
          <w:szCs w:val="24"/>
          <w:lang w:val="en-US" w:eastAsia="zh-CN"/>
        </w:rPr>
        <w:fldChar w:fldCharType="separate"/>
      </w:r>
      <w:r>
        <w:rPr>
          <w:rFonts w:hint="eastAsia" w:ascii="宋体" w:hAnsi="宋体" w:eastAsia="宋体" w:cs="宋体"/>
          <w:bCs/>
          <w:kern w:val="0"/>
          <w:sz w:val="24"/>
          <w:szCs w:val="24"/>
          <w:lang w:val="en-US" w:eastAsia="zh-CN" w:bidi="ar"/>
        </w:rPr>
        <w:t>4.加强党风廉政建设，打造风清气正良好发展氛围</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_Toc7309 \h </w:instrText>
      </w:r>
      <w:r>
        <w:rPr>
          <w:rFonts w:hint="eastAsia" w:ascii="宋体" w:hAnsi="宋体" w:eastAsia="宋体" w:cs="宋体"/>
          <w:sz w:val="24"/>
          <w:szCs w:val="24"/>
        </w:rPr>
        <w:fldChar w:fldCharType="separate"/>
      </w:r>
      <w:r>
        <w:rPr>
          <w:rFonts w:hint="eastAsia" w:ascii="宋体" w:hAnsi="宋体" w:eastAsia="宋体" w:cs="宋体"/>
          <w:sz w:val="24"/>
          <w:szCs w:val="24"/>
        </w:rPr>
        <w:t>14</w:t>
      </w:r>
      <w:r>
        <w:rPr>
          <w:rFonts w:hint="eastAsia" w:ascii="宋体" w:hAnsi="宋体" w:eastAsia="宋体" w:cs="宋体"/>
          <w:sz w:val="24"/>
          <w:szCs w:val="24"/>
        </w:rPr>
        <w:fldChar w:fldCharType="end"/>
      </w: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begin"/>
      </w:r>
      <w:r>
        <w:rPr>
          <w:rFonts w:hint="eastAsia" w:ascii="宋体" w:hAnsi="宋体" w:eastAsia="宋体" w:cs="宋体"/>
          <w:bCs/>
          <w:sz w:val="24"/>
          <w:szCs w:val="24"/>
          <w:lang w:val="en-US" w:eastAsia="zh-CN"/>
        </w:rPr>
        <w:instrText xml:space="preserve"> HYPERLINK \l _Toc14407 </w:instrText>
      </w:r>
      <w:r>
        <w:rPr>
          <w:rFonts w:hint="eastAsia" w:ascii="宋体" w:hAnsi="宋体" w:eastAsia="宋体" w:cs="宋体"/>
          <w:bCs/>
          <w:sz w:val="24"/>
          <w:szCs w:val="24"/>
          <w:lang w:val="en-US" w:eastAsia="zh-CN"/>
        </w:rPr>
        <w:fldChar w:fldCharType="separate"/>
      </w:r>
      <w:r>
        <w:rPr>
          <w:rFonts w:hint="eastAsia" w:ascii="宋体" w:hAnsi="宋体" w:eastAsia="宋体" w:cs="宋体"/>
          <w:bCs/>
          <w:sz w:val="24"/>
          <w:szCs w:val="24"/>
          <w:lang w:val="en-US" w:eastAsia="zh-CN"/>
        </w:rPr>
        <w:t>（二）以更新教育思想为前提，树立高质量发展新理念</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_Toc14407 \h </w:instrText>
      </w:r>
      <w:r>
        <w:rPr>
          <w:rFonts w:hint="eastAsia" w:ascii="宋体" w:hAnsi="宋体" w:eastAsia="宋体" w:cs="宋体"/>
          <w:sz w:val="24"/>
          <w:szCs w:val="24"/>
        </w:rPr>
        <w:fldChar w:fldCharType="separate"/>
      </w:r>
      <w:r>
        <w:rPr>
          <w:rFonts w:hint="eastAsia" w:ascii="宋体" w:hAnsi="宋体" w:eastAsia="宋体" w:cs="宋体"/>
          <w:sz w:val="24"/>
          <w:szCs w:val="24"/>
        </w:rPr>
        <w:t>15</w:t>
      </w:r>
      <w:r>
        <w:rPr>
          <w:rFonts w:hint="eastAsia" w:ascii="宋体" w:hAnsi="宋体" w:eastAsia="宋体" w:cs="宋体"/>
          <w:sz w:val="24"/>
          <w:szCs w:val="24"/>
        </w:rPr>
        <w:fldChar w:fldCharType="end"/>
      </w: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begin"/>
      </w:r>
      <w:r>
        <w:rPr>
          <w:rFonts w:hint="eastAsia" w:ascii="宋体" w:hAnsi="宋体" w:eastAsia="宋体" w:cs="宋体"/>
          <w:bCs/>
          <w:sz w:val="24"/>
          <w:szCs w:val="24"/>
          <w:lang w:val="en-US" w:eastAsia="zh-CN"/>
        </w:rPr>
        <w:instrText xml:space="preserve"> HYPERLINK \l _Toc23741 </w:instrText>
      </w:r>
      <w:r>
        <w:rPr>
          <w:rFonts w:hint="eastAsia" w:ascii="宋体" w:hAnsi="宋体" w:eastAsia="宋体" w:cs="宋体"/>
          <w:bCs/>
          <w:sz w:val="24"/>
          <w:szCs w:val="24"/>
          <w:lang w:val="en-US" w:eastAsia="zh-CN"/>
        </w:rPr>
        <w:fldChar w:fldCharType="separate"/>
      </w:r>
      <w:r>
        <w:rPr>
          <w:rFonts w:hint="eastAsia" w:ascii="宋体" w:hAnsi="宋体" w:eastAsia="宋体" w:cs="宋体"/>
          <w:bCs w:val="0"/>
          <w:sz w:val="24"/>
          <w:szCs w:val="24"/>
          <w:lang w:val="en-US" w:eastAsia="zh-CN"/>
        </w:rPr>
        <w:t>1.树立服务育人理念</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_Toc23741 \h </w:instrText>
      </w:r>
      <w:r>
        <w:rPr>
          <w:rFonts w:hint="eastAsia" w:ascii="宋体" w:hAnsi="宋体" w:eastAsia="宋体" w:cs="宋体"/>
          <w:sz w:val="24"/>
          <w:szCs w:val="24"/>
        </w:rPr>
        <w:fldChar w:fldCharType="separate"/>
      </w:r>
      <w:r>
        <w:rPr>
          <w:rFonts w:hint="eastAsia" w:ascii="宋体" w:hAnsi="宋体" w:eastAsia="宋体" w:cs="宋体"/>
          <w:sz w:val="24"/>
          <w:szCs w:val="24"/>
        </w:rPr>
        <w:t>15</w:t>
      </w:r>
      <w:r>
        <w:rPr>
          <w:rFonts w:hint="eastAsia" w:ascii="宋体" w:hAnsi="宋体" w:eastAsia="宋体" w:cs="宋体"/>
          <w:sz w:val="24"/>
          <w:szCs w:val="24"/>
        </w:rPr>
        <w:fldChar w:fldCharType="end"/>
      </w: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begin"/>
      </w:r>
      <w:r>
        <w:rPr>
          <w:rFonts w:hint="eastAsia" w:ascii="宋体" w:hAnsi="宋体" w:eastAsia="宋体" w:cs="宋体"/>
          <w:bCs/>
          <w:sz w:val="24"/>
          <w:szCs w:val="24"/>
          <w:lang w:val="en-US" w:eastAsia="zh-CN"/>
        </w:rPr>
        <w:instrText xml:space="preserve"> HYPERLINK \l _Toc29017 </w:instrText>
      </w:r>
      <w:r>
        <w:rPr>
          <w:rFonts w:hint="eastAsia" w:ascii="宋体" w:hAnsi="宋体" w:eastAsia="宋体" w:cs="宋体"/>
          <w:bCs/>
          <w:sz w:val="24"/>
          <w:szCs w:val="24"/>
          <w:lang w:val="en-US" w:eastAsia="zh-CN"/>
        </w:rPr>
        <w:fldChar w:fldCharType="separate"/>
      </w:r>
      <w:r>
        <w:rPr>
          <w:rFonts w:hint="eastAsia" w:ascii="宋体" w:hAnsi="宋体" w:eastAsia="宋体" w:cs="宋体"/>
          <w:bCs w:val="0"/>
          <w:sz w:val="24"/>
          <w:szCs w:val="24"/>
          <w:lang w:val="en-US" w:eastAsia="zh-CN"/>
        </w:rPr>
        <w:t>2.树立需求导向办学理念</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_Toc29017 \h </w:instrText>
      </w:r>
      <w:r>
        <w:rPr>
          <w:rFonts w:hint="eastAsia" w:ascii="宋体" w:hAnsi="宋体" w:eastAsia="宋体" w:cs="宋体"/>
          <w:sz w:val="24"/>
          <w:szCs w:val="24"/>
        </w:rPr>
        <w:fldChar w:fldCharType="separate"/>
      </w:r>
      <w:r>
        <w:rPr>
          <w:rFonts w:hint="eastAsia" w:ascii="宋体" w:hAnsi="宋体" w:eastAsia="宋体" w:cs="宋体"/>
          <w:sz w:val="24"/>
          <w:szCs w:val="24"/>
        </w:rPr>
        <w:t>15</w:t>
      </w:r>
      <w:r>
        <w:rPr>
          <w:rFonts w:hint="eastAsia" w:ascii="宋体" w:hAnsi="宋体" w:eastAsia="宋体" w:cs="宋体"/>
          <w:sz w:val="24"/>
          <w:szCs w:val="24"/>
        </w:rPr>
        <w:fldChar w:fldCharType="end"/>
      </w: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begin"/>
      </w:r>
      <w:r>
        <w:rPr>
          <w:rFonts w:hint="eastAsia" w:ascii="宋体" w:hAnsi="宋体" w:eastAsia="宋体" w:cs="宋体"/>
          <w:bCs/>
          <w:sz w:val="24"/>
          <w:szCs w:val="24"/>
          <w:lang w:val="en-US" w:eastAsia="zh-CN"/>
        </w:rPr>
        <w:instrText xml:space="preserve"> HYPERLINK \l _Toc12983 </w:instrText>
      </w:r>
      <w:r>
        <w:rPr>
          <w:rFonts w:hint="eastAsia" w:ascii="宋体" w:hAnsi="宋体" w:eastAsia="宋体" w:cs="宋体"/>
          <w:bCs/>
          <w:sz w:val="24"/>
          <w:szCs w:val="24"/>
          <w:lang w:val="en-US" w:eastAsia="zh-CN"/>
        </w:rPr>
        <w:fldChar w:fldCharType="separate"/>
      </w:r>
      <w:r>
        <w:rPr>
          <w:rFonts w:hint="eastAsia" w:ascii="宋体" w:hAnsi="宋体" w:eastAsia="宋体" w:cs="宋体"/>
          <w:bCs w:val="0"/>
          <w:sz w:val="24"/>
          <w:szCs w:val="24"/>
          <w:lang w:val="en-US" w:eastAsia="zh-CN"/>
        </w:rPr>
        <w:t>3.树立开放办学理念</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_Toc12983 \h </w:instrText>
      </w:r>
      <w:r>
        <w:rPr>
          <w:rFonts w:hint="eastAsia" w:ascii="宋体" w:hAnsi="宋体" w:eastAsia="宋体" w:cs="宋体"/>
          <w:sz w:val="24"/>
          <w:szCs w:val="24"/>
        </w:rPr>
        <w:fldChar w:fldCharType="separate"/>
      </w:r>
      <w:r>
        <w:rPr>
          <w:rFonts w:hint="eastAsia" w:ascii="宋体" w:hAnsi="宋体" w:eastAsia="宋体" w:cs="宋体"/>
          <w:sz w:val="24"/>
          <w:szCs w:val="24"/>
        </w:rPr>
        <w:t>15</w:t>
      </w:r>
      <w:r>
        <w:rPr>
          <w:rFonts w:hint="eastAsia" w:ascii="宋体" w:hAnsi="宋体" w:eastAsia="宋体" w:cs="宋体"/>
          <w:sz w:val="24"/>
          <w:szCs w:val="24"/>
        </w:rPr>
        <w:fldChar w:fldCharType="end"/>
      </w: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begin"/>
      </w:r>
      <w:r>
        <w:rPr>
          <w:rFonts w:hint="eastAsia" w:ascii="宋体" w:hAnsi="宋体" w:eastAsia="宋体" w:cs="宋体"/>
          <w:bCs/>
          <w:sz w:val="24"/>
          <w:szCs w:val="24"/>
          <w:lang w:val="en-US" w:eastAsia="zh-CN"/>
        </w:rPr>
        <w:instrText xml:space="preserve"> HYPERLINK \l _Toc8571 </w:instrText>
      </w:r>
      <w:r>
        <w:rPr>
          <w:rFonts w:hint="eastAsia" w:ascii="宋体" w:hAnsi="宋体" w:eastAsia="宋体" w:cs="宋体"/>
          <w:bCs/>
          <w:sz w:val="24"/>
          <w:szCs w:val="24"/>
          <w:lang w:val="en-US" w:eastAsia="zh-CN"/>
        </w:rPr>
        <w:fldChar w:fldCharType="separate"/>
      </w:r>
      <w:r>
        <w:rPr>
          <w:rFonts w:hint="eastAsia" w:ascii="宋体" w:hAnsi="宋体" w:eastAsia="宋体" w:cs="宋体"/>
          <w:bCs w:val="0"/>
          <w:sz w:val="24"/>
          <w:szCs w:val="24"/>
          <w:lang w:val="en-US" w:eastAsia="zh-CN"/>
        </w:rPr>
        <w:t>4.树立特色化办学理念</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_Toc8571 \h </w:instrText>
      </w:r>
      <w:r>
        <w:rPr>
          <w:rFonts w:hint="eastAsia" w:ascii="宋体" w:hAnsi="宋体" w:eastAsia="宋体" w:cs="宋体"/>
          <w:sz w:val="24"/>
          <w:szCs w:val="24"/>
        </w:rPr>
        <w:fldChar w:fldCharType="separate"/>
      </w:r>
      <w:r>
        <w:rPr>
          <w:rFonts w:hint="eastAsia" w:ascii="宋体" w:hAnsi="宋体" w:eastAsia="宋体" w:cs="宋体"/>
          <w:sz w:val="24"/>
          <w:szCs w:val="24"/>
        </w:rPr>
        <w:t>15</w:t>
      </w:r>
      <w:r>
        <w:rPr>
          <w:rFonts w:hint="eastAsia" w:ascii="宋体" w:hAnsi="宋体" w:eastAsia="宋体" w:cs="宋体"/>
          <w:sz w:val="24"/>
          <w:szCs w:val="24"/>
        </w:rPr>
        <w:fldChar w:fldCharType="end"/>
      </w: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begin"/>
      </w:r>
      <w:r>
        <w:rPr>
          <w:rFonts w:hint="eastAsia" w:ascii="宋体" w:hAnsi="宋体" w:eastAsia="宋体" w:cs="宋体"/>
          <w:bCs/>
          <w:sz w:val="24"/>
          <w:szCs w:val="24"/>
          <w:lang w:val="en-US" w:eastAsia="zh-CN"/>
        </w:rPr>
        <w:instrText xml:space="preserve"> HYPERLINK \l _Toc27467 </w:instrText>
      </w:r>
      <w:r>
        <w:rPr>
          <w:rFonts w:hint="eastAsia" w:ascii="宋体" w:hAnsi="宋体" w:eastAsia="宋体" w:cs="宋体"/>
          <w:bCs/>
          <w:sz w:val="24"/>
          <w:szCs w:val="24"/>
          <w:lang w:val="en-US" w:eastAsia="zh-CN"/>
        </w:rPr>
        <w:fldChar w:fldCharType="separate"/>
      </w:r>
      <w:r>
        <w:rPr>
          <w:rFonts w:hint="eastAsia" w:ascii="宋体" w:hAnsi="宋体" w:eastAsia="宋体" w:cs="宋体"/>
          <w:bCs/>
          <w:sz w:val="24"/>
          <w:szCs w:val="24"/>
          <w:lang w:val="en-US" w:eastAsia="zh-CN"/>
        </w:rPr>
        <w:t>（三）以应用型学科专业建设为龙头，</w:t>
      </w:r>
      <w:r>
        <w:rPr>
          <w:rFonts w:hint="eastAsia" w:ascii="宋体" w:hAnsi="宋体" w:eastAsia="宋体" w:cs="宋体"/>
          <w:bCs/>
          <w:kern w:val="2"/>
          <w:sz w:val="24"/>
          <w:szCs w:val="24"/>
          <w:lang w:val="en-US" w:eastAsia="zh-CN" w:bidi="ar-SA"/>
        </w:rPr>
        <w:t>打造学科专业建设新格局</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_Toc27467 \h </w:instrText>
      </w:r>
      <w:r>
        <w:rPr>
          <w:rFonts w:hint="eastAsia" w:ascii="宋体" w:hAnsi="宋体" w:eastAsia="宋体" w:cs="宋体"/>
          <w:sz w:val="24"/>
          <w:szCs w:val="24"/>
        </w:rPr>
        <w:fldChar w:fldCharType="separate"/>
      </w:r>
      <w:r>
        <w:rPr>
          <w:rFonts w:hint="eastAsia" w:ascii="宋体" w:hAnsi="宋体" w:eastAsia="宋体" w:cs="宋体"/>
          <w:sz w:val="24"/>
          <w:szCs w:val="24"/>
        </w:rPr>
        <w:t>16</w:t>
      </w:r>
      <w:r>
        <w:rPr>
          <w:rFonts w:hint="eastAsia" w:ascii="宋体" w:hAnsi="宋体" w:eastAsia="宋体" w:cs="宋体"/>
          <w:sz w:val="24"/>
          <w:szCs w:val="24"/>
        </w:rPr>
        <w:fldChar w:fldCharType="end"/>
      </w: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begin"/>
      </w:r>
      <w:r>
        <w:rPr>
          <w:rFonts w:hint="eastAsia" w:ascii="宋体" w:hAnsi="宋体" w:eastAsia="宋体" w:cs="宋体"/>
          <w:bCs/>
          <w:sz w:val="24"/>
          <w:szCs w:val="24"/>
          <w:lang w:val="en-US" w:eastAsia="zh-CN"/>
        </w:rPr>
        <w:instrText xml:space="preserve"> HYPERLINK \l _Toc32630 </w:instrText>
      </w:r>
      <w:r>
        <w:rPr>
          <w:rFonts w:hint="eastAsia" w:ascii="宋体" w:hAnsi="宋体" w:eastAsia="宋体" w:cs="宋体"/>
          <w:bCs/>
          <w:sz w:val="24"/>
          <w:szCs w:val="24"/>
          <w:lang w:val="en-US" w:eastAsia="zh-CN"/>
        </w:rPr>
        <w:fldChar w:fldCharType="separate"/>
      </w:r>
      <w:r>
        <w:rPr>
          <w:rFonts w:hint="eastAsia" w:ascii="宋体" w:hAnsi="宋体" w:eastAsia="宋体" w:cs="宋体"/>
          <w:sz w:val="24"/>
          <w:szCs w:val="24"/>
          <w:lang w:val="en-US" w:eastAsia="zh-CN"/>
        </w:rPr>
        <w:t>1.</w:t>
      </w:r>
      <w:r>
        <w:rPr>
          <w:rFonts w:hint="eastAsia" w:ascii="宋体" w:hAnsi="宋体" w:eastAsia="宋体" w:cs="宋体"/>
          <w:bCs/>
          <w:sz w:val="24"/>
          <w:szCs w:val="24"/>
          <w:lang w:val="en-US" w:eastAsia="zh-CN"/>
        </w:rPr>
        <w:t>优化专业布局</w:t>
      </w:r>
      <w:r>
        <w:rPr>
          <w:rFonts w:hint="eastAsia" w:ascii="宋体" w:hAnsi="宋体" w:eastAsia="宋体" w:cs="宋体"/>
          <w:bCs/>
          <w:sz w:val="24"/>
          <w:szCs w:val="24"/>
        </w:rPr>
        <w:t>，促进学科</w:t>
      </w:r>
      <w:r>
        <w:rPr>
          <w:rFonts w:hint="eastAsia" w:ascii="宋体" w:hAnsi="宋体" w:eastAsia="宋体" w:cs="宋体"/>
          <w:bCs/>
          <w:sz w:val="24"/>
          <w:szCs w:val="24"/>
          <w:lang w:eastAsia="zh-CN"/>
        </w:rPr>
        <w:t>专业可</w:t>
      </w:r>
      <w:r>
        <w:rPr>
          <w:rFonts w:hint="eastAsia" w:ascii="宋体" w:hAnsi="宋体" w:eastAsia="宋体" w:cs="宋体"/>
          <w:bCs/>
          <w:sz w:val="24"/>
          <w:szCs w:val="24"/>
        </w:rPr>
        <w:t>持续发展</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_Toc32630 \h </w:instrText>
      </w:r>
      <w:r>
        <w:rPr>
          <w:rFonts w:hint="eastAsia" w:ascii="宋体" w:hAnsi="宋体" w:eastAsia="宋体" w:cs="宋体"/>
          <w:sz w:val="24"/>
          <w:szCs w:val="24"/>
        </w:rPr>
        <w:fldChar w:fldCharType="separate"/>
      </w:r>
      <w:r>
        <w:rPr>
          <w:rFonts w:hint="eastAsia" w:ascii="宋体" w:hAnsi="宋体" w:eastAsia="宋体" w:cs="宋体"/>
          <w:sz w:val="24"/>
          <w:szCs w:val="24"/>
        </w:rPr>
        <w:t>16</w:t>
      </w:r>
      <w:r>
        <w:rPr>
          <w:rFonts w:hint="eastAsia" w:ascii="宋体" w:hAnsi="宋体" w:eastAsia="宋体" w:cs="宋体"/>
          <w:sz w:val="24"/>
          <w:szCs w:val="24"/>
        </w:rPr>
        <w:fldChar w:fldCharType="end"/>
      </w: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begin"/>
      </w:r>
      <w:r>
        <w:rPr>
          <w:rFonts w:hint="eastAsia" w:ascii="宋体" w:hAnsi="宋体" w:eastAsia="宋体" w:cs="宋体"/>
          <w:bCs/>
          <w:sz w:val="24"/>
          <w:szCs w:val="24"/>
          <w:lang w:val="en-US" w:eastAsia="zh-CN"/>
        </w:rPr>
        <w:instrText xml:space="preserve"> HYPERLINK \l _Toc4692 </w:instrText>
      </w:r>
      <w:r>
        <w:rPr>
          <w:rFonts w:hint="eastAsia" w:ascii="宋体" w:hAnsi="宋体" w:eastAsia="宋体" w:cs="宋体"/>
          <w:bCs/>
          <w:sz w:val="24"/>
          <w:szCs w:val="24"/>
          <w:lang w:val="en-US" w:eastAsia="zh-CN"/>
        </w:rPr>
        <w:fldChar w:fldCharType="separate"/>
      </w:r>
      <w:r>
        <w:rPr>
          <w:rFonts w:hint="eastAsia" w:ascii="宋体" w:hAnsi="宋体" w:eastAsia="宋体" w:cs="宋体"/>
          <w:sz w:val="24"/>
          <w:szCs w:val="24"/>
          <w:lang w:val="en-US" w:eastAsia="zh-CN"/>
        </w:rPr>
        <w:t>2.</w:t>
      </w:r>
      <w:r>
        <w:rPr>
          <w:rFonts w:hint="eastAsia" w:ascii="宋体" w:hAnsi="宋体" w:eastAsia="宋体" w:cs="宋体"/>
          <w:sz w:val="24"/>
          <w:szCs w:val="24"/>
        </w:rPr>
        <w:t>强化</w:t>
      </w:r>
      <w:r>
        <w:rPr>
          <w:rFonts w:hint="eastAsia" w:ascii="宋体" w:hAnsi="宋体" w:eastAsia="宋体" w:cs="宋体"/>
          <w:sz w:val="24"/>
          <w:szCs w:val="24"/>
          <w:lang w:eastAsia="zh-CN"/>
        </w:rPr>
        <w:t>优势引领</w:t>
      </w:r>
      <w:r>
        <w:rPr>
          <w:rFonts w:hint="eastAsia" w:ascii="宋体" w:hAnsi="宋体" w:eastAsia="宋体" w:cs="宋体"/>
          <w:sz w:val="24"/>
          <w:szCs w:val="24"/>
        </w:rPr>
        <w:t>，</w:t>
      </w:r>
      <w:r>
        <w:rPr>
          <w:rFonts w:hint="eastAsia" w:ascii="宋体" w:hAnsi="宋体" w:eastAsia="宋体" w:cs="宋体"/>
          <w:sz w:val="24"/>
          <w:szCs w:val="24"/>
          <w:lang w:eastAsia="zh-CN"/>
        </w:rPr>
        <w:t>推进应用型学科专业集群</w:t>
      </w:r>
      <w:r>
        <w:rPr>
          <w:rFonts w:hint="eastAsia" w:ascii="宋体" w:hAnsi="宋体" w:eastAsia="宋体" w:cs="宋体"/>
          <w:sz w:val="24"/>
          <w:szCs w:val="24"/>
        </w:rPr>
        <w:t>建设</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_Toc4692 \h </w:instrText>
      </w:r>
      <w:r>
        <w:rPr>
          <w:rFonts w:hint="eastAsia" w:ascii="宋体" w:hAnsi="宋体" w:eastAsia="宋体" w:cs="宋体"/>
          <w:sz w:val="24"/>
          <w:szCs w:val="24"/>
        </w:rPr>
        <w:fldChar w:fldCharType="separate"/>
      </w:r>
      <w:r>
        <w:rPr>
          <w:rFonts w:hint="eastAsia" w:ascii="宋体" w:hAnsi="宋体" w:eastAsia="宋体" w:cs="宋体"/>
          <w:sz w:val="24"/>
          <w:szCs w:val="24"/>
        </w:rPr>
        <w:t>16</w:t>
      </w:r>
      <w:r>
        <w:rPr>
          <w:rFonts w:hint="eastAsia" w:ascii="宋体" w:hAnsi="宋体" w:eastAsia="宋体" w:cs="宋体"/>
          <w:sz w:val="24"/>
          <w:szCs w:val="24"/>
        </w:rPr>
        <w:fldChar w:fldCharType="end"/>
      </w: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begin"/>
      </w:r>
      <w:r>
        <w:rPr>
          <w:rFonts w:hint="eastAsia" w:ascii="宋体" w:hAnsi="宋体" w:eastAsia="宋体" w:cs="宋体"/>
          <w:bCs/>
          <w:sz w:val="24"/>
          <w:szCs w:val="24"/>
          <w:lang w:val="en-US" w:eastAsia="zh-CN"/>
        </w:rPr>
        <w:instrText xml:space="preserve"> HYPERLINK \l _Toc16143 </w:instrText>
      </w:r>
      <w:r>
        <w:rPr>
          <w:rFonts w:hint="eastAsia" w:ascii="宋体" w:hAnsi="宋体" w:eastAsia="宋体" w:cs="宋体"/>
          <w:bCs/>
          <w:sz w:val="24"/>
          <w:szCs w:val="24"/>
          <w:lang w:val="en-US" w:eastAsia="zh-CN"/>
        </w:rPr>
        <w:fldChar w:fldCharType="separate"/>
      </w:r>
      <w:r>
        <w:rPr>
          <w:rFonts w:hint="eastAsia" w:ascii="宋体" w:hAnsi="宋体" w:eastAsia="宋体" w:cs="宋体"/>
          <w:bCs w:val="0"/>
          <w:kern w:val="2"/>
          <w:sz w:val="24"/>
          <w:szCs w:val="24"/>
          <w:lang w:val="en-US" w:eastAsia="zh-CN" w:bidi="ar-SA"/>
        </w:rPr>
        <w:t>3.聚焦“金专”建设，重点打造一批精品专业</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_Toc16143 \h </w:instrText>
      </w:r>
      <w:r>
        <w:rPr>
          <w:rFonts w:hint="eastAsia" w:ascii="宋体" w:hAnsi="宋体" w:eastAsia="宋体" w:cs="宋体"/>
          <w:sz w:val="24"/>
          <w:szCs w:val="24"/>
        </w:rPr>
        <w:fldChar w:fldCharType="separate"/>
      </w:r>
      <w:r>
        <w:rPr>
          <w:rFonts w:hint="eastAsia" w:ascii="宋体" w:hAnsi="宋体" w:eastAsia="宋体" w:cs="宋体"/>
          <w:sz w:val="24"/>
          <w:szCs w:val="24"/>
        </w:rPr>
        <w:t>17</w:t>
      </w:r>
      <w:r>
        <w:rPr>
          <w:rFonts w:hint="eastAsia" w:ascii="宋体" w:hAnsi="宋体" w:eastAsia="宋体" w:cs="宋体"/>
          <w:sz w:val="24"/>
          <w:szCs w:val="24"/>
        </w:rPr>
        <w:fldChar w:fldCharType="end"/>
      </w: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begin"/>
      </w:r>
      <w:r>
        <w:rPr>
          <w:rFonts w:hint="eastAsia" w:ascii="宋体" w:hAnsi="宋体" w:eastAsia="宋体" w:cs="宋体"/>
          <w:bCs/>
          <w:sz w:val="24"/>
          <w:szCs w:val="24"/>
          <w:lang w:val="en-US" w:eastAsia="zh-CN"/>
        </w:rPr>
        <w:instrText xml:space="preserve"> HYPERLINK \l _Toc20108 </w:instrText>
      </w:r>
      <w:r>
        <w:rPr>
          <w:rFonts w:hint="eastAsia" w:ascii="宋体" w:hAnsi="宋体" w:eastAsia="宋体" w:cs="宋体"/>
          <w:bCs/>
          <w:sz w:val="24"/>
          <w:szCs w:val="24"/>
          <w:lang w:val="en-US" w:eastAsia="zh-CN"/>
        </w:rPr>
        <w:fldChar w:fldCharType="separate"/>
      </w:r>
      <w:r>
        <w:rPr>
          <w:rFonts w:hint="eastAsia" w:ascii="宋体" w:hAnsi="宋体" w:eastAsia="宋体" w:cs="宋体"/>
          <w:bCs w:val="0"/>
          <w:kern w:val="2"/>
          <w:sz w:val="24"/>
          <w:szCs w:val="24"/>
          <w:lang w:val="en-US" w:eastAsia="zh-CN" w:bidi="ar-SA"/>
        </w:rPr>
        <w:t>4.推进学科交融，夯实应用型学科专业基础</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_Toc20108 \h </w:instrText>
      </w:r>
      <w:r>
        <w:rPr>
          <w:rFonts w:hint="eastAsia" w:ascii="宋体" w:hAnsi="宋体" w:eastAsia="宋体" w:cs="宋体"/>
          <w:sz w:val="24"/>
          <w:szCs w:val="24"/>
        </w:rPr>
        <w:fldChar w:fldCharType="separate"/>
      </w:r>
      <w:r>
        <w:rPr>
          <w:rFonts w:hint="eastAsia" w:ascii="宋体" w:hAnsi="宋体" w:eastAsia="宋体" w:cs="宋体"/>
          <w:sz w:val="24"/>
          <w:szCs w:val="24"/>
        </w:rPr>
        <w:t>17</w:t>
      </w:r>
      <w:r>
        <w:rPr>
          <w:rFonts w:hint="eastAsia" w:ascii="宋体" w:hAnsi="宋体" w:eastAsia="宋体" w:cs="宋体"/>
          <w:sz w:val="24"/>
          <w:szCs w:val="24"/>
        </w:rPr>
        <w:fldChar w:fldCharType="end"/>
      </w: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begin"/>
      </w:r>
      <w:r>
        <w:rPr>
          <w:rFonts w:hint="eastAsia" w:ascii="宋体" w:hAnsi="宋体" w:eastAsia="宋体" w:cs="宋体"/>
          <w:bCs/>
          <w:sz w:val="24"/>
          <w:szCs w:val="24"/>
          <w:lang w:val="en-US" w:eastAsia="zh-CN"/>
        </w:rPr>
        <w:instrText xml:space="preserve"> HYPERLINK \l _Toc19960 </w:instrText>
      </w:r>
      <w:r>
        <w:rPr>
          <w:rFonts w:hint="eastAsia" w:ascii="宋体" w:hAnsi="宋体" w:eastAsia="宋体" w:cs="宋体"/>
          <w:bCs/>
          <w:sz w:val="24"/>
          <w:szCs w:val="24"/>
          <w:lang w:val="en-US" w:eastAsia="zh-CN"/>
        </w:rPr>
        <w:fldChar w:fldCharType="separate"/>
      </w:r>
      <w:r>
        <w:rPr>
          <w:rFonts w:hint="eastAsia" w:ascii="宋体" w:hAnsi="宋体" w:eastAsia="宋体" w:cs="宋体"/>
          <w:bCs/>
          <w:kern w:val="2"/>
          <w:sz w:val="24"/>
          <w:szCs w:val="24"/>
          <w:lang w:val="en-US" w:eastAsia="zh-CN" w:bidi="zh-CN"/>
        </w:rPr>
        <w:t>5.提升专业层次，择机启动硕士学位授予单位立项建设</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_Toc19960 \h </w:instrText>
      </w:r>
      <w:r>
        <w:rPr>
          <w:rFonts w:hint="eastAsia" w:ascii="宋体" w:hAnsi="宋体" w:eastAsia="宋体" w:cs="宋体"/>
          <w:sz w:val="24"/>
          <w:szCs w:val="24"/>
        </w:rPr>
        <w:fldChar w:fldCharType="separate"/>
      </w:r>
      <w:r>
        <w:rPr>
          <w:rFonts w:hint="eastAsia" w:ascii="宋体" w:hAnsi="宋体" w:eastAsia="宋体" w:cs="宋体"/>
          <w:sz w:val="24"/>
          <w:szCs w:val="24"/>
        </w:rPr>
        <w:t>18</w:t>
      </w:r>
      <w:r>
        <w:rPr>
          <w:rFonts w:hint="eastAsia" w:ascii="宋体" w:hAnsi="宋体" w:eastAsia="宋体" w:cs="宋体"/>
          <w:sz w:val="24"/>
          <w:szCs w:val="24"/>
        </w:rPr>
        <w:fldChar w:fldCharType="end"/>
      </w: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begin"/>
      </w:r>
      <w:r>
        <w:rPr>
          <w:rFonts w:hint="eastAsia" w:ascii="宋体" w:hAnsi="宋体" w:eastAsia="宋体" w:cs="宋体"/>
          <w:bCs/>
          <w:sz w:val="24"/>
          <w:szCs w:val="24"/>
          <w:lang w:val="en-US" w:eastAsia="zh-CN"/>
        </w:rPr>
        <w:instrText xml:space="preserve"> HYPERLINK \l _Toc14652 </w:instrText>
      </w:r>
      <w:r>
        <w:rPr>
          <w:rFonts w:hint="eastAsia" w:ascii="宋体" w:hAnsi="宋体" w:eastAsia="宋体" w:cs="宋体"/>
          <w:bCs/>
          <w:sz w:val="24"/>
          <w:szCs w:val="24"/>
          <w:lang w:val="en-US" w:eastAsia="zh-CN"/>
        </w:rPr>
        <w:fldChar w:fldCharType="separate"/>
      </w:r>
      <w:r>
        <w:rPr>
          <w:rFonts w:hint="eastAsia" w:ascii="宋体" w:hAnsi="宋体" w:eastAsia="宋体" w:cs="宋体"/>
          <w:sz w:val="24"/>
          <w:szCs w:val="24"/>
          <w:lang w:eastAsia="zh-CN"/>
        </w:rPr>
        <w:t>（四）以</w:t>
      </w:r>
      <w:r>
        <w:rPr>
          <w:rFonts w:hint="eastAsia" w:ascii="宋体" w:hAnsi="宋体" w:eastAsia="宋体" w:cs="宋体"/>
          <w:sz w:val="24"/>
          <w:szCs w:val="24"/>
        </w:rPr>
        <w:t>深化</w:t>
      </w:r>
      <w:r>
        <w:rPr>
          <w:rFonts w:hint="eastAsia" w:ascii="宋体" w:hAnsi="宋体" w:eastAsia="宋体" w:cs="宋体"/>
          <w:sz w:val="24"/>
          <w:szCs w:val="24"/>
          <w:lang w:eastAsia="zh-CN"/>
        </w:rPr>
        <w:t>教学</w:t>
      </w:r>
      <w:r>
        <w:rPr>
          <w:rFonts w:hint="eastAsia" w:ascii="宋体" w:hAnsi="宋体" w:eastAsia="宋体" w:cs="宋体"/>
          <w:sz w:val="24"/>
          <w:szCs w:val="24"/>
        </w:rPr>
        <w:t>改革</w:t>
      </w:r>
      <w:r>
        <w:rPr>
          <w:rFonts w:hint="eastAsia" w:ascii="宋体" w:hAnsi="宋体" w:eastAsia="宋体" w:cs="宋体"/>
          <w:sz w:val="24"/>
          <w:szCs w:val="24"/>
          <w:lang w:eastAsia="zh-CN"/>
        </w:rPr>
        <w:t>为重点，提升人才培养质量新高度</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_Toc14652 \h </w:instrText>
      </w:r>
      <w:r>
        <w:rPr>
          <w:rFonts w:hint="eastAsia" w:ascii="宋体" w:hAnsi="宋体" w:eastAsia="宋体" w:cs="宋体"/>
          <w:sz w:val="24"/>
          <w:szCs w:val="24"/>
        </w:rPr>
        <w:fldChar w:fldCharType="separate"/>
      </w:r>
      <w:r>
        <w:rPr>
          <w:rFonts w:hint="eastAsia" w:ascii="宋体" w:hAnsi="宋体" w:eastAsia="宋体" w:cs="宋体"/>
          <w:sz w:val="24"/>
          <w:szCs w:val="24"/>
        </w:rPr>
        <w:t>18</w:t>
      </w:r>
      <w:r>
        <w:rPr>
          <w:rFonts w:hint="eastAsia" w:ascii="宋体" w:hAnsi="宋体" w:eastAsia="宋体" w:cs="宋体"/>
          <w:sz w:val="24"/>
          <w:szCs w:val="24"/>
        </w:rPr>
        <w:fldChar w:fldCharType="end"/>
      </w: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begin"/>
      </w:r>
      <w:r>
        <w:rPr>
          <w:rFonts w:hint="eastAsia" w:ascii="宋体" w:hAnsi="宋体" w:eastAsia="宋体" w:cs="宋体"/>
          <w:bCs/>
          <w:sz w:val="24"/>
          <w:szCs w:val="24"/>
          <w:lang w:val="en-US" w:eastAsia="zh-CN"/>
        </w:rPr>
        <w:instrText xml:space="preserve"> HYPERLINK \l _Toc8523 </w:instrText>
      </w:r>
      <w:r>
        <w:rPr>
          <w:rFonts w:hint="eastAsia" w:ascii="宋体" w:hAnsi="宋体" w:eastAsia="宋体" w:cs="宋体"/>
          <w:bCs/>
          <w:sz w:val="24"/>
          <w:szCs w:val="24"/>
          <w:lang w:val="en-US" w:eastAsia="zh-CN"/>
        </w:rPr>
        <w:fldChar w:fldCharType="separate"/>
      </w:r>
      <w:r>
        <w:rPr>
          <w:rFonts w:hint="eastAsia" w:ascii="宋体" w:hAnsi="宋体" w:eastAsia="宋体" w:cs="宋体"/>
          <w:sz w:val="24"/>
          <w:szCs w:val="24"/>
          <w:lang w:val="en-US" w:eastAsia="zh-CN"/>
        </w:rPr>
        <w:t>1.推进人才培养模式改革，提升应用型本科人才培养达成度</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_Toc8523 \h </w:instrText>
      </w:r>
      <w:r>
        <w:rPr>
          <w:rFonts w:hint="eastAsia" w:ascii="宋体" w:hAnsi="宋体" w:eastAsia="宋体" w:cs="宋体"/>
          <w:sz w:val="24"/>
          <w:szCs w:val="24"/>
        </w:rPr>
        <w:fldChar w:fldCharType="separate"/>
      </w:r>
      <w:r>
        <w:rPr>
          <w:rFonts w:hint="eastAsia" w:ascii="宋体" w:hAnsi="宋体" w:eastAsia="宋体" w:cs="宋体"/>
          <w:sz w:val="24"/>
          <w:szCs w:val="24"/>
        </w:rPr>
        <w:t>18</w:t>
      </w:r>
      <w:r>
        <w:rPr>
          <w:rFonts w:hint="eastAsia" w:ascii="宋体" w:hAnsi="宋体" w:eastAsia="宋体" w:cs="宋体"/>
          <w:sz w:val="24"/>
          <w:szCs w:val="24"/>
        </w:rPr>
        <w:fldChar w:fldCharType="end"/>
      </w: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begin"/>
      </w:r>
      <w:r>
        <w:rPr>
          <w:rFonts w:hint="eastAsia" w:ascii="宋体" w:hAnsi="宋体" w:eastAsia="宋体" w:cs="宋体"/>
          <w:bCs/>
          <w:sz w:val="24"/>
          <w:szCs w:val="24"/>
          <w:lang w:val="en-US" w:eastAsia="zh-CN"/>
        </w:rPr>
        <w:instrText xml:space="preserve"> HYPERLINK \l _Toc30779 </w:instrText>
      </w:r>
      <w:r>
        <w:rPr>
          <w:rFonts w:hint="eastAsia" w:ascii="宋体" w:hAnsi="宋体" w:eastAsia="宋体" w:cs="宋体"/>
          <w:bCs/>
          <w:sz w:val="24"/>
          <w:szCs w:val="24"/>
          <w:lang w:val="en-US" w:eastAsia="zh-CN"/>
        </w:rPr>
        <w:fldChar w:fldCharType="separate"/>
      </w:r>
      <w:r>
        <w:rPr>
          <w:rFonts w:hint="eastAsia" w:ascii="宋体" w:hAnsi="宋体" w:eastAsia="宋体" w:cs="宋体"/>
          <w:kern w:val="0"/>
          <w:sz w:val="24"/>
          <w:szCs w:val="24"/>
          <w:lang w:val="en-US" w:eastAsia="zh-CN" w:bidi="ar"/>
        </w:rPr>
        <w:t>2.深化课程与教学改革，打造教学质量革命新亮点</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_Toc30779 \h </w:instrText>
      </w:r>
      <w:r>
        <w:rPr>
          <w:rFonts w:hint="eastAsia" w:ascii="宋体" w:hAnsi="宋体" w:eastAsia="宋体" w:cs="宋体"/>
          <w:sz w:val="24"/>
          <w:szCs w:val="24"/>
        </w:rPr>
        <w:fldChar w:fldCharType="separate"/>
      </w:r>
      <w:r>
        <w:rPr>
          <w:rFonts w:hint="eastAsia" w:ascii="宋体" w:hAnsi="宋体" w:eastAsia="宋体" w:cs="宋体"/>
          <w:sz w:val="24"/>
          <w:szCs w:val="24"/>
        </w:rPr>
        <w:t>18</w:t>
      </w:r>
      <w:r>
        <w:rPr>
          <w:rFonts w:hint="eastAsia" w:ascii="宋体" w:hAnsi="宋体" w:eastAsia="宋体" w:cs="宋体"/>
          <w:sz w:val="24"/>
          <w:szCs w:val="24"/>
        </w:rPr>
        <w:fldChar w:fldCharType="end"/>
      </w: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begin"/>
      </w:r>
      <w:r>
        <w:rPr>
          <w:rFonts w:hint="eastAsia" w:ascii="宋体" w:hAnsi="宋体" w:eastAsia="宋体" w:cs="宋体"/>
          <w:bCs/>
          <w:sz w:val="24"/>
          <w:szCs w:val="24"/>
          <w:lang w:val="en-US" w:eastAsia="zh-CN"/>
        </w:rPr>
        <w:instrText xml:space="preserve"> HYPERLINK \l _Toc24578 </w:instrText>
      </w:r>
      <w:r>
        <w:rPr>
          <w:rFonts w:hint="eastAsia" w:ascii="宋体" w:hAnsi="宋体" w:eastAsia="宋体" w:cs="宋体"/>
          <w:bCs/>
          <w:sz w:val="24"/>
          <w:szCs w:val="24"/>
          <w:lang w:val="en-US" w:eastAsia="zh-CN"/>
        </w:rPr>
        <w:fldChar w:fldCharType="separate"/>
      </w:r>
      <w:r>
        <w:rPr>
          <w:rFonts w:hint="eastAsia" w:ascii="宋体" w:hAnsi="宋体" w:eastAsia="宋体" w:cs="宋体"/>
          <w:bCs w:val="0"/>
          <w:kern w:val="2"/>
          <w:sz w:val="24"/>
          <w:szCs w:val="24"/>
          <w:lang w:val="en-US" w:eastAsia="zh-CN" w:bidi="ar-SA"/>
        </w:rPr>
        <w:t>3.加强创新创业教育改革，提升学生创新创业意识新境界</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_Toc24578 \h </w:instrText>
      </w:r>
      <w:r>
        <w:rPr>
          <w:rFonts w:hint="eastAsia" w:ascii="宋体" w:hAnsi="宋体" w:eastAsia="宋体" w:cs="宋体"/>
          <w:sz w:val="24"/>
          <w:szCs w:val="24"/>
        </w:rPr>
        <w:fldChar w:fldCharType="separate"/>
      </w:r>
      <w:r>
        <w:rPr>
          <w:rFonts w:hint="eastAsia" w:ascii="宋体" w:hAnsi="宋体" w:eastAsia="宋体" w:cs="宋体"/>
          <w:sz w:val="24"/>
          <w:szCs w:val="24"/>
        </w:rPr>
        <w:t>19</w:t>
      </w:r>
      <w:r>
        <w:rPr>
          <w:rFonts w:hint="eastAsia" w:ascii="宋体" w:hAnsi="宋体" w:eastAsia="宋体" w:cs="宋体"/>
          <w:sz w:val="24"/>
          <w:szCs w:val="24"/>
        </w:rPr>
        <w:fldChar w:fldCharType="end"/>
      </w: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begin"/>
      </w:r>
      <w:r>
        <w:rPr>
          <w:rFonts w:hint="eastAsia" w:ascii="宋体" w:hAnsi="宋体" w:eastAsia="宋体" w:cs="宋体"/>
          <w:bCs/>
          <w:sz w:val="24"/>
          <w:szCs w:val="24"/>
          <w:lang w:val="en-US" w:eastAsia="zh-CN"/>
        </w:rPr>
        <w:instrText xml:space="preserve"> HYPERLINK \l _Toc21783 </w:instrText>
      </w:r>
      <w:r>
        <w:rPr>
          <w:rFonts w:hint="eastAsia" w:ascii="宋体" w:hAnsi="宋体" w:eastAsia="宋体" w:cs="宋体"/>
          <w:bCs/>
          <w:sz w:val="24"/>
          <w:szCs w:val="24"/>
          <w:lang w:val="en-US" w:eastAsia="zh-CN"/>
        </w:rPr>
        <w:fldChar w:fldCharType="separate"/>
      </w:r>
      <w:r>
        <w:rPr>
          <w:rFonts w:hint="eastAsia" w:ascii="宋体" w:hAnsi="宋体" w:eastAsia="宋体" w:cs="宋体"/>
          <w:bCs/>
          <w:kern w:val="2"/>
          <w:sz w:val="24"/>
          <w:szCs w:val="24"/>
          <w:lang w:val="en-US" w:eastAsia="zh-CN" w:bidi="zh-CN"/>
        </w:rPr>
        <w:t>4.优化教育资源配置，构建实践教学新体制</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_Toc21783 \h </w:instrText>
      </w:r>
      <w:r>
        <w:rPr>
          <w:rFonts w:hint="eastAsia" w:ascii="宋体" w:hAnsi="宋体" w:eastAsia="宋体" w:cs="宋体"/>
          <w:sz w:val="24"/>
          <w:szCs w:val="24"/>
        </w:rPr>
        <w:fldChar w:fldCharType="separate"/>
      </w:r>
      <w:r>
        <w:rPr>
          <w:rFonts w:hint="eastAsia" w:ascii="宋体" w:hAnsi="宋体" w:eastAsia="宋体" w:cs="宋体"/>
          <w:sz w:val="24"/>
          <w:szCs w:val="24"/>
        </w:rPr>
        <w:t>20</w:t>
      </w:r>
      <w:r>
        <w:rPr>
          <w:rFonts w:hint="eastAsia" w:ascii="宋体" w:hAnsi="宋体" w:eastAsia="宋体" w:cs="宋体"/>
          <w:sz w:val="24"/>
          <w:szCs w:val="24"/>
        </w:rPr>
        <w:fldChar w:fldCharType="end"/>
      </w: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begin"/>
      </w:r>
      <w:r>
        <w:rPr>
          <w:rFonts w:hint="eastAsia" w:ascii="宋体" w:hAnsi="宋体" w:eastAsia="宋体" w:cs="宋体"/>
          <w:bCs/>
          <w:sz w:val="24"/>
          <w:szCs w:val="24"/>
          <w:lang w:val="en-US" w:eastAsia="zh-CN"/>
        </w:rPr>
        <w:instrText xml:space="preserve"> HYPERLINK \l _Toc23046 </w:instrText>
      </w:r>
      <w:r>
        <w:rPr>
          <w:rFonts w:hint="eastAsia" w:ascii="宋体" w:hAnsi="宋体" w:eastAsia="宋体" w:cs="宋体"/>
          <w:bCs/>
          <w:sz w:val="24"/>
          <w:szCs w:val="24"/>
          <w:lang w:val="en-US" w:eastAsia="zh-CN"/>
        </w:rPr>
        <w:fldChar w:fldCharType="separate"/>
      </w:r>
      <w:r>
        <w:rPr>
          <w:rFonts w:hint="eastAsia" w:ascii="宋体" w:hAnsi="宋体" w:eastAsia="宋体" w:cs="宋体"/>
          <w:sz w:val="24"/>
          <w:szCs w:val="24"/>
          <w:lang w:val="en-US" w:eastAsia="zh-CN"/>
        </w:rPr>
        <w:t>5.</w:t>
      </w:r>
      <w:r>
        <w:rPr>
          <w:rFonts w:hint="eastAsia" w:ascii="宋体" w:hAnsi="宋体" w:eastAsia="宋体" w:cs="宋体"/>
          <w:sz w:val="24"/>
          <w:szCs w:val="24"/>
        </w:rPr>
        <w:t>健全</w:t>
      </w:r>
      <w:r>
        <w:rPr>
          <w:rFonts w:hint="eastAsia" w:ascii="宋体" w:hAnsi="宋体" w:eastAsia="宋体" w:cs="宋体"/>
          <w:sz w:val="24"/>
          <w:szCs w:val="24"/>
          <w:lang w:eastAsia="zh-CN"/>
        </w:rPr>
        <w:t>立德树人机制</w:t>
      </w:r>
      <w:r>
        <w:rPr>
          <w:rFonts w:hint="eastAsia" w:ascii="宋体" w:hAnsi="宋体" w:eastAsia="宋体" w:cs="宋体"/>
          <w:sz w:val="24"/>
          <w:szCs w:val="24"/>
        </w:rPr>
        <w:t>，</w:t>
      </w:r>
      <w:r>
        <w:rPr>
          <w:rFonts w:hint="eastAsia" w:ascii="宋体" w:hAnsi="宋体" w:eastAsia="宋体" w:cs="宋体"/>
          <w:sz w:val="24"/>
          <w:szCs w:val="24"/>
          <w:lang w:eastAsia="zh-CN"/>
        </w:rPr>
        <w:t>建设育人质量新文化</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_Toc23046 \h </w:instrText>
      </w:r>
      <w:r>
        <w:rPr>
          <w:rFonts w:hint="eastAsia" w:ascii="宋体" w:hAnsi="宋体" w:eastAsia="宋体" w:cs="宋体"/>
          <w:sz w:val="24"/>
          <w:szCs w:val="24"/>
        </w:rPr>
        <w:fldChar w:fldCharType="separate"/>
      </w:r>
      <w:r>
        <w:rPr>
          <w:rFonts w:hint="eastAsia" w:ascii="宋体" w:hAnsi="宋体" w:eastAsia="宋体" w:cs="宋体"/>
          <w:sz w:val="24"/>
          <w:szCs w:val="24"/>
        </w:rPr>
        <w:t>20</w:t>
      </w:r>
      <w:r>
        <w:rPr>
          <w:rFonts w:hint="eastAsia" w:ascii="宋体" w:hAnsi="宋体" w:eastAsia="宋体" w:cs="宋体"/>
          <w:sz w:val="24"/>
          <w:szCs w:val="24"/>
        </w:rPr>
        <w:fldChar w:fldCharType="end"/>
      </w: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begin"/>
      </w:r>
      <w:r>
        <w:rPr>
          <w:rFonts w:hint="eastAsia" w:ascii="宋体" w:hAnsi="宋体" w:eastAsia="宋体" w:cs="宋体"/>
          <w:bCs/>
          <w:sz w:val="24"/>
          <w:szCs w:val="24"/>
          <w:lang w:val="en-US" w:eastAsia="zh-CN"/>
        </w:rPr>
        <w:instrText xml:space="preserve"> HYPERLINK \l _Toc8803 </w:instrText>
      </w:r>
      <w:r>
        <w:rPr>
          <w:rFonts w:hint="eastAsia" w:ascii="宋体" w:hAnsi="宋体" w:eastAsia="宋体" w:cs="宋体"/>
          <w:bCs/>
          <w:sz w:val="24"/>
          <w:szCs w:val="24"/>
          <w:lang w:val="en-US" w:eastAsia="zh-CN"/>
        </w:rPr>
        <w:fldChar w:fldCharType="separate"/>
      </w:r>
      <w:r>
        <w:rPr>
          <w:rFonts w:hint="eastAsia" w:ascii="宋体" w:hAnsi="宋体" w:eastAsia="宋体" w:cs="宋体"/>
          <w:bCs/>
          <w:kern w:val="0"/>
          <w:sz w:val="24"/>
          <w:szCs w:val="24"/>
          <w:lang w:val="en-US" w:eastAsia="zh-CN" w:bidi="ar"/>
        </w:rPr>
        <w:t>（五）以完善引人用人机制为关键，打造高水平人才队伍建设新高地</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_Toc8803 \h </w:instrText>
      </w:r>
      <w:r>
        <w:rPr>
          <w:rFonts w:hint="eastAsia" w:ascii="宋体" w:hAnsi="宋体" w:eastAsia="宋体" w:cs="宋体"/>
          <w:sz w:val="24"/>
          <w:szCs w:val="24"/>
        </w:rPr>
        <w:fldChar w:fldCharType="separate"/>
      </w:r>
      <w:r>
        <w:rPr>
          <w:rFonts w:hint="eastAsia" w:ascii="宋体" w:hAnsi="宋体" w:eastAsia="宋体" w:cs="宋体"/>
          <w:sz w:val="24"/>
          <w:szCs w:val="24"/>
        </w:rPr>
        <w:t>21</w:t>
      </w:r>
      <w:r>
        <w:rPr>
          <w:rFonts w:hint="eastAsia" w:ascii="宋体" w:hAnsi="宋体" w:eastAsia="宋体" w:cs="宋体"/>
          <w:sz w:val="24"/>
          <w:szCs w:val="24"/>
        </w:rPr>
        <w:fldChar w:fldCharType="end"/>
      </w: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begin"/>
      </w:r>
      <w:r>
        <w:rPr>
          <w:rFonts w:hint="eastAsia" w:ascii="宋体" w:hAnsi="宋体" w:eastAsia="宋体" w:cs="宋体"/>
          <w:bCs/>
          <w:sz w:val="24"/>
          <w:szCs w:val="24"/>
          <w:lang w:val="en-US" w:eastAsia="zh-CN"/>
        </w:rPr>
        <w:instrText xml:space="preserve"> HYPERLINK \l _Toc30913 </w:instrText>
      </w:r>
      <w:r>
        <w:rPr>
          <w:rFonts w:hint="eastAsia" w:ascii="宋体" w:hAnsi="宋体" w:eastAsia="宋体" w:cs="宋体"/>
          <w:bCs/>
          <w:sz w:val="24"/>
          <w:szCs w:val="24"/>
          <w:lang w:val="en-US" w:eastAsia="zh-CN"/>
        </w:rPr>
        <w:fldChar w:fldCharType="separate"/>
      </w:r>
      <w:r>
        <w:rPr>
          <w:rFonts w:hint="eastAsia" w:ascii="宋体" w:hAnsi="宋体" w:eastAsia="宋体" w:cs="宋体"/>
          <w:bCs/>
          <w:kern w:val="0"/>
          <w:sz w:val="24"/>
          <w:szCs w:val="24"/>
          <w:lang w:val="en-US" w:eastAsia="zh-CN" w:bidi="ar"/>
        </w:rPr>
        <w:t>1.</w:t>
      </w:r>
      <w:r>
        <w:rPr>
          <w:rFonts w:hint="eastAsia" w:ascii="宋体" w:hAnsi="宋体" w:eastAsia="宋体" w:cs="宋体"/>
          <w:bCs/>
          <w:kern w:val="0"/>
          <w:sz w:val="24"/>
          <w:szCs w:val="24"/>
          <w:lang w:eastAsia="zh-CN" w:bidi="ar"/>
        </w:rPr>
        <w:t>坚持</w:t>
      </w:r>
      <w:r>
        <w:rPr>
          <w:rFonts w:hint="eastAsia" w:ascii="宋体" w:hAnsi="宋体" w:eastAsia="宋体" w:cs="宋体"/>
          <w:bCs/>
          <w:kern w:val="0"/>
          <w:sz w:val="24"/>
          <w:szCs w:val="24"/>
          <w:lang w:val="en-US" w:eastAsia="zh-CN" w:bidi="ar"/>
        </w:rPr>
        <w:t>引育并举，实施人才</w:t>
      </w:r>
      <w:r>
        <w:rPr>
          <w:rFonts w:hint="eastAsia" w:ascii="宋体" w:hAnsi="宋体" w:eastAsia="宋体" w:cs="宋体"/>
          <w:bCs/>
          <w:kern w:val="0"/>
          <w:sz w:val="24"/>
          <w:szCs w:val="24"/>
          <w:lang w:eastAsia="zh-CN" w:bidi="ar"/>
        </w:rPr>
        <w:t>队伍</w:t>
      </w:r>
      <w:r>
        <w:rPr>
          <w:rFonts w:hint="eastAsia" w:ascii="宋体" w:hAnsi="宋体" w:eastAsia="宋体" w:cs="宋体"/>
          <w:bCs/>
          <w:kern w:val="0"/>
          <w:sz w:val="24"/>
          <w:szCs w:val="24"/>
          <w:lang w:val="en-US" w:eastAsia="zh-CN" w:bidi="ar"/>
        </w:rPr>
        <w:t>质量提升</w:t>
      </w:r>
      <w:r>
        <w:rPr>
          <w:rFonts w:hint="eastAsia" w:ascii="宋体" w:hAnsi="宋体" w:eastAsia="宋体" w:cs="宋体"/>
          <w:bCs/>
          <w:kern w:val="0"/>
          <w:sz w:val="24"/>
          <w:szCs w:val="24"/>
          <w:lang w:eastAsia="zh-CN" w:bidi="ar"/>
        </w:rPr>
        <w:t>工程</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_Toc30913 \h </w:instrText>
      </w:r>
      <w:r>
        <w:rPr>
          <w:rFonts w:hint="eastAsia" w:ascii="宋体" w:hAnsi="宋体" w:eastAsia="宋体" w:cs="宋体"/>
          <w:sz w:val="24"/>
          <w:szCs w:val="24"/>
        </w:rPr>
        <w:fldChar w:fldCharType="separate"/>
      </w:r>
      <w:r>
        <w:rPr>
          <w:rFonts w:hint="eastAsia" w:ascii="宋体" w:hAnsi="宋体" w:eastAsia="宋体" w:cs="宋体"/>
          <w:sz w:val="24"/>
          <w:szCs w:val="24"/>
        </w:rPr>
        <w:t>21</w:t>
      </w:r>
      <w:r>
        <w:rPr>
          <w:rFonts w:hint="eastAsia" w:ascii="宋体" w:hAnsi="宋体" w:eastAsia="宋体" w:cs="宋体"/>
          <w:sz w:val="24"/>
          <w:szCs w:val="24"/>
        </w:rPr>
        <w:fldChar w:fldCharType="end"/>
      </w: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宋体" w:hAnsi="宋体" w:eastAsia="宋体" w:cs="宋体"/>
          <w:bCs/>
          <w:color w:val="000000" w:themeColor="text1"/>
          <w:sz w:val="24"/>
          <w:szCs w:val="24"/>
          <w:u w:val="none"/>
          <w:lang w:val="en-US" w:eastAsia="zh-CN"/>
          <w14:textFill>
            <w14:solidFill>
              <w14:schemeClr w14:val="tx1"/>
            </w14:solidFill>
          </w14:textFill>
        </w:rPr>
        <w:sectPr>
          <w:footerReference r:id="rId4" w:type="default"/>
          <w:pgSz w:w="11906" w:h="16838"/>
          <w:pgMar w:top="1440" w:right="1800" w:bottom="1440" w:left="1800" w:header="851" w:footer="992" w:gutter="0"/>
          <w:cols w:space="720" w:num="1"/>
          <w:docGrid w:type="lines" w:linePitch="312" w:charSpace="0"/>
        </w:sectPr>
      </w:pP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begin"/>
      </w:r>
      <w:r>
        <w:rPr>
          <w:rFonts w:hint="eastAsia" w:ascii="宋体" w:hAnsi="宋体" w:eastAsia="宋体" w:cs="宋体"/>
          <w:bCs/>
          <w:sz w:val="24"/>
          <w:szCs w:val="24"/>
          <w:lang w:val="en-US" w:eastAsia="zh-CN"/>
        </w:rPr>
        <w:instrText xml:space="preserve"> HYPERLINK \l _Toc2163 </w:instrText>
      </w:r>
      <w:r>
        <w:rPr>
          <w:rFonts w:hint="eastAsia" w:ascii="宋体" w:hAnsi="宋体" w:eastAsia="宋体" w:cs="宋体"/>
          <w:bCs/>
          <w:sz w:val="24"/>
          <w:szCs w:val="24"/>
          <w:lang w:val="en-US" w:eastAsia="zh-CN"/>
        </w:rPr>
        <w:fldChar w:fldCharType="separate"/>
      </w:r>
      <w:r>
        <w:rPr>
          <w:rFonts w:hint="eastAsia" w:ascii="宋体" w:hAnsi="宋体" w:eastAsia="宋体" w:cs="宋体"/>
          <w:bCs/>
          <w:kern w:val="0"/>
          <w:sz w:val="24"/>
          <w:szCs w:val="24"/>
          <w:lang w:val="en-US" w:eastAsia="zh-CN" w:bidi="ar"/>
        </w:rPr>
        <w:t>2.</w:t>
      </w:r>
      <w:r>
        <w:rPr>
          <w:rFonts w:hint="eastAsia" w:ascii="宋体" w:hAnsi="宋体" w:eastAsia="宋体" w:cs="宋体"/>
          <w:bCs/>
          <w:kern w:val="0"/>
          <w:sz w:val="24"/>
          <w:szCs w:val="24"/>
          <w:lang w:eastAsia="zh-CN" w:bidi="ar"/>
        </w:rPr>
        <w:t>坚持</w:t>
      </w:r>
      <w:r>
        <w:rPr>
          <w:rFonts w:hint="eastAsia" w:ascii="宋体" w:hAnsi="宋体" w:eastAsia="宋体" w:cs="宋体"/>
          <w:bCs/>
          <w:kern w:val="0"/>
          <w:sz w:val="24"/>
          <w:szCs w:val="24"/>
          <w:lang w:val="en-US" w:eastAsia="zh-CN" w:bidi="ar"/>
        </w:rPr>
        <w:t>分类施策，优化配置各类人才资源</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_Toc2163 \h </w:instrText>
      </w:r>
      <w:r>
        <w:rPr>
          <w:rFonts w:hint="eastAsia" w:ascii="宋体" w:hAnsi="宋体" w:eastAsia="宋体" w:cs="宋体"/>
          <w:sz w:val="24"/>
          <w:szCs w:val="24"/>
        </w:rPr>
        <w:fldChar w:fldCharType="separate"/>
      </w:r>
      <w:r>
        <w:rPr>
          <w:rFonts w:hint="eastAsia" w:ascii="宋体" w:hAnsi="宋体" w:eastAsia="宋体" w:cs="宋体"/>
          <w:sz w:val="24"/>
          <w:szCs w:val="24"/>
        </w:rPr>
        <w:t>21</w:t>
      </w:r>
      <w:r>
        <w:rPr>
          <w:rFonts w:hint="eastAsia" w:ascii="宋体" w:hAnsi="宋体" w:eastAsia="宋体" w:cs="宋体"/>
          <w:sz w:val="24"/>
          <w:szCs w:val="24"/>
        </w:rPr>
        <w:fldChar w:fldCharType="end"/>
      </w: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begin"/>
      </w:r>
      <w:r>
        <w:rPr>
          <w:rFonts w:hint="eastAsia" w:ascii="宋体" w:hAnsi="宋体" w:eastAsia="宋体" w:cs="宋体"/>
          <w:bCs/>
          <w:sz w:val="24"/>
          <w:szCs w:val="24"/>
          <w:lang w:val="en-US" w:eastAsia="zh-CN"/>
        </w:rPr>
        <w:instrText xml:space="preserve"> HYPERLINK \l _Toc23831 </w:instrText>
      </w:r>
      <w:r>
        <w:rPr>
          <w:rFonts w:hint="eastAsia" w:ascii="宋体" w:hAnsi="宋体" w:eastAsia="宋体" w:cs="宋体"/>
          <w:bCs/>
          <w:sz w:val="24"/>
          <w:szCs w:val="24"/>
          <w:lang w:val="en-US" w:eastAsia="zh-CN"/>
        </w:rPr>
        <w:fldChar w:fldCharType="separate"/>
      </w:r>
      <w:r>
        <w:rPr>
          <w:rFonts w:hint="eastAsia" w:ascii="宋体" w:hAnsi="宋体" w:eastAsia="宋体" w:cs="宋体"/>
          <w:bCs/>
          <w:kern w:val="0"/>
          <w:sz w:val="24"/>
          <w:szCs w:val="24"/>
          <w:lang w:val="en-US" w:eastAsia="zh-CN" w:bidi="ar"/>
        </w:rPr>
        <w:t>3.</w:t>
      </w:r>
      <w:r>
        <w:rPr>
          <w:rFonts w:hint="eastAsia" w:ascii="宋体" w:hAnsi="宋体" w:eastAsia="宋体" w:cs="宋体"/>
          <w:bCs/>
          <w:kern w:val="0"/>
          <w:sz w:val="24"/>
          <w:szCs w:val="24"/>
          <w:lang w:eastAsia="zh-CN" w:bidi="ar"/>
        </w:rPr>
        <w:t>坚持</w:t>
      </w:r>
      <w:r>
        <w:rPr>
          <w:rFonts w:hint="eastAsia" w:ascii="宋体" w:hAnsi="宋体" w:eastAsia="宋体" w:cs="宋体"/>
          <w:bCs/>
          <w:kern w:val="0"/>
          <w:sz w:val="24"/>
          <w:szCs w:val="24"/>
          <w:lang w:val="en-US" w:eastAsia="zh-CN" w:bidi="ar"/>
        </w:rPr>
        <w:t>待遇激励，健全人事与分配改革制度</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_Toc23831 \h </w:instrText>
      </w:r>
      <w:r>
        <w:rPr>
          <w:rFonts w:hint="eastAsia" w:ascii="宋体" w:hAnsi="宋体" w:eastAsia="宋体" w:cs="宋体"/>
          <w:sz w:val="24"/>
          <w:szCs w:val="24"/>
        </w:rPr>
        <w:fldChar w:fldCharType="separate"/>
      </w:r>
      <w:r>
        <w:rPr>
          <w:rFonts w:hint="eastAsia" w:ascii="宋体" w:hAnsi="宋体" w:eastAsia="宋体" w:cs="宋体"/>
          <w:sz w:val="24"/>
          <w:szCs w:val="24"/>
        </w:rPr>
        <w:t>22</w:t>
      </w:r>
      <w:r>
        <w:rPr>
          <w:rFonts w:hint="eastAsia" w:ascii="宋体" w:hAnsi="宋体" w:eastAsia="宋体" w:cs="宋体"/>
          <w:sz w:val="24"/>
          <w:szCs w:val="24"/>
        </w:rPr>
        <w:fldChar w:fldCharType="end"/>
      </w: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begin"/>
      </w:r>
      <w:r>
        <w:rPr>
          <w:rFonts w:hint="eastAsia" w:ascii="宋体" w:hAnsi="宋体" w:eastAsia="宋体" w:cs="宋体"/>
          <w:bCs/>
          <w:sz w:val="24"/>
          <w:szCs w:val="24"/>
          <w:lang w:val="en-US" w:eastAsia="zh-CN"/>
        </w:rPr>
        <w:instrText xml:space="preserve"> HYPERLINK \l _Toc1556 </w:instrText>
      </w:r>
      <w:r>
        <w:rPr>
          <w:rFonts w:hint="eastAsia" w:ascii="宋体" w:hAnsi="宋体" w:eastAsia="宋体" w:cs="宋体"/>
          <w:bCs/>
          <w:sz w:val="24"/>
          <w:szCs w:val="24"/>
          <w:lang w:val="en-US" w:eastAsia="zh-CN"/>
        </w:rPr>
        <w:fldChar w:fldCharType="separate"/>
      </w:r>
      <w:r>
        <w:rPr>
          <w:rFonts w:hint="eastAsia" w:ascii="宋体" w:hAnsi="宋体" w:eastAsia="宋体" w:cs="宋体"/>
          <w:sz w:val="24"/>
          <w:szCs w:val="24"/>
          <w:lang w:eastAsia="zh-CN"/>
        </w:rPr>
        <w:t>（六）以</w:t>
      </w:r>
      <w:r>
        <w:rPr>
          <w:rFonts w:hint="eastAsia" w:ascii="宋体" w:hAnsi="宋体" w:eastAsia="宋体" w:cs="宋体"/>
          <w:bCs/>
          <w:kern w:val="0"/>
          <w:sz w:val="24"/>
          <w:szCs w:val="24"/>
          <w:lang w:val="en-US" w:eastAsia="zh-CN" w:bidi="ar"/>
        </w:rPr>
        <w:t>行业产业</w:t>
      </w:r>
      <w:r>
        <w:rPr>
          <w:rFonts w:hint="eastAsia" w:ascii="宋体" w:hAnsi="宋体" w:eastAsia="宋体" w:cs="宋体"/>
          <w:sz w:val="24"/>
          <w:szCs w:val="24"/>
          <w:lang w:eastAsia="zh-CN"/>
        </w:rPr>
        <w:t>需求为导向</w:t>
      </w:r>
      <w:r>
        <w:rPr>
          <w:rFonts w:hint="eastAsia" w:ascii="宋体" w:hAnsi="宋体" w:eastAsia="宋体" w:cs="宋体"/>
          <w:sz w:val="24"/>
          <w:szCs w:val="24"/>
        </w:rPr>
        <w:t>，</w:t>
      </w:r>
      <w:r>
        <w:rPr>
          <w:rFonts w:hint="eastAsia" w:ascii="宋体" w:hAnsi="宋体" w:eastAsia="宋体" w:cs="宋体"/>
          <w:sz w:val="24"/>
          <w:szCs w:val="24"/>
          <w:lang w:eastAsia="zh-CN"/>
        </w:rPr>
        <w:t>实现社会服务能力新提升</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_Toc1556 \h </w:instrText>
      </w:r>
      <w:r>
        <w:rPr>
          <w:rFonts w:hint="eastAsia" w:ascii="宋体" w:hAnsi="宋体" w:eastAsia="宋体" w:cs="宋体"/>
          <w:sz w:val="24"/>
          <w:szCs w:val="24"/>
        </w:rPr>
        <w:fldChar w:fldCharType="separate"/>
      </w:r>
      <w:r>
        <w:rPr>
          <w:rFonts w:hint="eastAsia" w:ascii="宋体" w:hAnsi="宋体" w:eastAsia="宋体" w:cs="宋体"/>
          <w:sz w:val="24"/>
          <w:szCs w:val="24"/>
        </w:rPr>
        <w:t>22</w:t>
      </w:r>
      <w:r>
        <w:rPr>
          <w:rFonts w:hint="eastAsia" w:ascii="宋体" w:hAnsi="宋体" w:eastAsia="宋体" w:cs="宋体"/>
          <w:sz w:val="24"/>
          <w:szCs w:val="24"/>
        </w:rPr>
        <w:fldChar w:fldCharType="end"/>
      </w: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begin"/>
      </w:r>
      <w:r>
        <w:rPr>
          <w:rFonts w:hint="eastAsia" w:ascii="宋体" w:hAnsi="宋体" w:eastAsia="宋体" w:cs="宋体"/>
          <w:bCs/>
          <w:sz w:val="24"/>
          <w:szCs w:val="24"/>
          <w:lang w:val="en-US" w:eastAsia="zh-CN"/>
        </w:rPr>
        <w:instrText xml:space="preserve"> HYPERLINK \l _Toc8181 </w:instrText>
      </w:r>
      <w:r>
        <w:rPr>
          <w:rFonts w:hint="eastAsia" w:ascii="宋体" w:hAnsi="宋体" w:eastAsia="宋体" w:cs="宋体"/>
          <w:bCs/>
          <w:sz w:val="24"/>
          <w:szCs w:val="24"/>
          <w:lang w:val="en-US" w:eastAsia="zh-CN"/>
        </w:rPr>
        <w:fldChar w:fldCharType="separate"/>
      </w:r>
      <w:r>
        <w:rPr>
          <w:rFonts w:hint="eastAsia" w:ascii="宋体" w:hAnsi="宋体" w:eastAsia="宋体" w:cs="宋体"/>
          <w:bCs/>
          <w:kern w:val="0"/>
          <w:sz w:val="24"/>
          <w:szCs w:val="24"/>
          <w:lang w:val="en-US" w:eastAsia="zh-CN" w:bidi="ar"/>
        </w:rPr>
        <w:t>1.聚焦科技创新前沿，打造高水平科技创新人才团队新实力</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_Toc8181 \h </w:instrText>
      </w:r>
      <w:r>
        <w:rPr>
          <w:rFonts w:hint="eastAsia" w:ascii="宋体" w:hAnsi="宋体" w:eastAsia="宋体" w:cs="宋体"/>
          <w:sz w:val="24"/>
          <w:szCs w:val="24"/>
        </w:rPr>
        <w:fldChar w:fldCharType="separate"/>
      </w:r>
      <w:r>
        <w:rPr>
          <w:rFonts w:hint="eastAsia" w:ascii="宋体" w:hAnsi="宋体" w:eastAsia="宋体" w:cs="宋体"/>
          <w:sz w:val="24"/>
          <w:szCs w:val="24"/>
        </w:rPr>
        <w:t>22</w:t>
      </w:r>
      <w:r>
        <w:rPr>
          <w:rFonts w:hint="eastAsia" w:ascii="宋体" w:hAnsi="宋体" w:eastAsia="宋体" w:cs="宋体"/>
          <w:sz w:val="24"/>
          <w:szCs w:val="24"/>
        </w:rPr>
        <w:fldChar w:fldCharType="end"/>
      </w: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begin"/>
      </w:r>
      <w:r>
        <w:rPr>
          <w:rFonts w:hint="eastAsia" w:ascii="宋体" w:hAnsi="宋体" w:eastAsia="宋体" w:cs="宋体"/>
          <w:bCs/>
          <w:sz w:val="24"/>
          <w:szCs w:val="24"/>
          <w:lang w:val="en-US" w:eastAsia="zh-CN"/>
        </w:rPr>
        <w:instrText xml:space="preserve"> HYPERLINK \l _Toc9316 </w:instrText>
      </w:r>
      <w:r>
        <w:rPr>
          <w:rFonts w:hint="eastAsia" w:ascii="宋体" w:hAnsi="宋体" w:eastAsia="宋体" w:cs="宋体"/>
          <w:bCs/>
          <w:sz w:val="24"/>
          <w:szCs w:val="24"/>
          <w:lang w:val="en-US" w:eastAsia="zh-CN"/>
        </w:rPr>
        <w:fldChar w:fldCharType="separate"/>
      </w:r>
      <w:r>
        <w:rPr>
          <w:rFonts w:hint="eastAsia" w:ascii="宋体" w:hAnsi="宋体" w:eastAsia="宋体" w:cs="宋体"/>
          <w:bCs/>
          <w:kern w:val="0"/>
          <w:sz w:val="24"/>
          <w:szCs w:val="24"/>
          <w:lang w:val="en-US" w:eastAsia="zh-CN" w:bidi="ar"/>
        </w:rPr>
        <w:t>2.聚焦持续创新能力，搭建科教协同育人新平台</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_Toc9316 \h </w:instrText>
      </w:r>
      <w:r>
        <w:rPr>
          <w:rFonts w:hint="eastAsia" w:ascii="宋体" w:hAnsi="宋体" w:eastAsia="宋体" w:cs="宋体"/>
          <w:sz w:val="24"/>
          <w:szCs w:val="24"/>
        </w:rPr>
        <w:fldChar w:fldCharType="separate"/>
      </w:r>
      <w:r>
        <w:rPr>
          <w:rFonts w:hint="eastAsia" w:ascii="宋体" w:hAnsi="宋体" w:eastAsia="宋体" w:cs="宋体"/>
          <w:sz w:val="24"/>
          <w:szCs w:val="24"/>
        </w:rPr>
        <w:t>23</w:t>
      </w:r>
      <w:r>
        <w:rPr>
          <w:rFonts w:hint="eastAsia" w:ascii="宋体" w:hAnsi="宋体" w:eastAsia="宋体" w:cs="宋体"/>
          <w:sz w:val="24"/>
          <w:szCs w:val="24"/>
        </w:rPr>
        <w:fldChar w:fldCharType="end"/>
      </w: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begin"/>
      </w:r>
      <w:r>
        <w:rPr>
          <w:rFonts w:hint="eastAsia" w:ascii="宋体" w:hAnsi="宋体" w:eastAsia="宋体" w:cs="宋体"/>
          <w:bCs/>
          <w:sz w:val="24"/>
          <w:szCs w:val="24"/>
          <w:lang w:val="en-US" w:eastAsia="zh-CN"/>
        </w:rPr>
        <w:instrText xml:space="preserve"> HYPERLINK \l _Toc23505 </w:instrText>
      </w:r>
      <w:r>
        <w:rPr>
          <w:rFonts w:hint="eastAsia" w:ascii="宋体" w:hAnsi="宋体" w:eastAsia="宋体" w:cs="宋体"/>
          <w:bCs/>
          <w:sz w:val="24"/>
          <w:szCs w:val="24"/>
          <w:lang w:val="en-US" w:eastAsia="zh-CN"/>
        </w:rPr>
        <w:fldChar w:fldCharType="separate"/>
      </w:r>
      <w:r>
        <w:rPr>
          <w:rFonts w:hint="eastAsia" w:ascii="宋体" w:hAnsi="宋体" w:eastAsia="宋体" w:cs="宋体"/>
          <w:bCs/>
          <w:kern w:val="0"/>
          <w:sz w:val="24"/>
          <w:szCs w:val="24"/>
          <w:lang w:val="en-US" w:eastAsia="zh-CN" w:bidi="ar"/>
        </w:rPr>
        <w:t>3.聚焦区域发展战略，提升社会服务能力新标杆</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_Toc23505 \h </w:instrText>
      </w:r>
      <w:r>
        <w:rPr>
          <w:rFonts w:hint="eastAsia" w:ascii="宋体" w:hAnsi="宋体" w:eastAsia="宋体" w:cs="宋体"/>
          <w:sz w:val="24"/>
          <w:szCs w:val="24"/>
        </w:rPr>
        <w:fldChar w:fldCharType="separate"/>
      </w:r>
      <w:r>
        <w:rPr>
          <w:rFonts w:hint="eastAsia" w:ascii="宋体" w:hAnsi="宋体" w:eastAsia="宋体" w:cs="宋体"/>
          <w:sz w:val="24"/>
          <w:szCs w:val="24"/>
        </w:rPr>
        <w:t>23</w:t>
      </w:r>
      <w:r>
        <w:rPr>
          <w:rFonts w:hint="eastAsia" w:ascii="宋体" w:hAnsi="宋体" w:eastAsia="宋体" w:cs="宋体"/>
          <w:sz w:val="24"/>
          <w:szCs w:val="24"/>
        </w:rPr>
        <w:fldChar w:fldCharType="end"/>
      </w: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begin"/>
      </w:r>
      <w:r>
        <w:rPr>
          <w:rFonts w:hint="eastAsia" w:ascii="宋体" w:hAnsi="宋体" w:eastAsia="宋体" w:cs="宋体"/>
          <w:bCs/>
          <w:sz w:val="24"/>
          <w:szCs w:val="24"/>
          <w:lang w:val="en-US" w:eastAsia="zh-CN"/>
        </w:rPr>
        <w:instrText xml:space="preserve"> HYPERLINK \l _Toc30347 </w:instrText>
      </w:r>
      <w:r>
        <w:rPr>
          <w:rFonts w:hint="eastAsia" w:ascii="宋体" w:hAnsi="宋体" w:eastAsia="宋体" w:cs="宋体"/>
          <w:bCs/>
          <w:sz w:val="24"/>
          <w:szCs w:val="24"/>
          <w:lang w:val="en-US" w:eastAsia="zh-CN"/>
        </w:rPr>
        <w:fldChar w:fldCharType="separate"/>
      </w:r>
      <w:r>
        <w:rPr>
          <w:rFonts w:hint="eastAsia" w:ascii="宋体" w:hAnsi="宋体" w:eastAsia="宋体" w:cs="宋体"/>
          <w:bCs/>
          <w:kern w:val="0"/>
          <w:sz w:val="24"/>
          <w:szCs w:val="24"/>
          <w:lang w:val="en-US" w:eastAsia="zh-CN" w:bidi="ar"/>
        </w:rPr>
        <w:t>4.聚焦科研水平提升，构建科技评价新体系</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_Toc30347 \h </w:instrText>
      </w:r>
      <w:r>
        <w:rPr>
          <w:rFonts w:hint="eastAsia" w:ascii="宋体" w:hAnsi="宋体" w:eastAsia="宋体" w:cs="宋体"/>
          <w:sz w:val="24"/>
          <w:szCs w:val="24"/>
        </w:rPr>
        <w:fldChar w:fldCharType="separate"/>
      </w:r>
      <w:r>
        <w:rPr>
          <w:rFonts w:hint="eastAsia" w:ascii="宋体" w:hAnsi="宋体" w:eastAsia="宋体" w:cs="宋体"/>
          <w:sz w:val="24"/>
          <w:szCs w:val="24"/>
        </w:rPr>
        <w:t>24</w:t>
      </w:r>
      <w:r>
        <w:rPr>
          <w:rFonts w:hint="eastAsia" w:ascii="宋体" w:hAnsi="宋体" w:eastAsia="宋体" w:cs="宋体"/>
          <w:sz w:val="24"/>
          <w:szCs w:val="24"/>
        </w:rPr>
        <w:fldChar w:fldCharType="end"/>
      </w: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begin"/>
      </w:r>
      <w:r>
        <w:rPr>
          <w:rFonts w:hint="eastAsia" w:ascii="宋体" w:hAnsi="宋体" w:eastAsia="宋体" w:cs="宋体"/>
          <w:bCs/>
          <w:sz w:val="24"/>
          <w:szCs w:val="24"/>
          <w:lang w:val="en-US" w:eastAsia="zh-CN"/>
        </w:rPr>
        <w:instrText xml:space="preserve"> HYPERLINK \l _Toc30151 </w:instrText>
      </w:r>
      <w:r>
        <w:rPr>
          <w:rFonts w:hint="eastAsia" w:ascii="宋体" w:hAnsi="宋体" w:eastAsia="宋体" w:cs="宋体"/>
          <w:bCs/>
          <w:sz w:val="24"/>
          <w:szCs w:val="24"/>
          <w:lang w:val="en-US" w:eastAsia="zh-CN"/>
        </w:rPr>
        <w:fldChar w:fldCharType="separate"/>
      </w:r>
      <w:r>
        <w:rPr>
          <w:rFonts w:hint="eastAsia" w:ascii="宋体" w:hAnsi="宋体" w:eastAsia="宋体" w:cs="宋体"/>
          <w:bCs/>
          <w:kern w:val="0"/>
          <w:sz w:val="24"/>
          <w:szCs w:val="24"/>
          <w:lang w:val="en-US" w:eastAsia="zh-CN" w:bidi="ar"/>
        </w:rPr>
        <w:t>（七）以大学文化建设为灵魂，营造立德树人浓厚新氛围</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_Toc30151 \h </w:instrText>
      </w:r>
      <w:r>
        <w:rPr>
          <w:rFonts w:hint="eastAsia" w:ascii="宋体" w:hAnsi="宋体" w:eastAsia="宋体" w:cs="宋体"/>
          <w:sz w:val="24"/>
          <w:szCs w:val="24"/>
        </w:rPr>
        <w:fldChar w:fldCharType="separate"/>
      </w:r>
      <w:r>
        <w:rPr>
          <w:rFonts w:hint="eastAsia" w:ascii="宋体" w:hAnsi="宋体" w:eastAsia="宋体" w:cs="宋体"/>
          <w:sz w:val="24"/>
          <w:szCs w:val="24"/>
        </w:rPr>
        <w:t>24</w:t>
      </w:r>
      <w:r>
        <w:rPr>
          <w:rFonts w:hint="eastAsia" w:ascii="宋体" w:hAnsi="宋体" w:eastAsia="宋体" w:cs="宋体"/>
          <w:sz w:val="24"/>
          <w:szCs w:val="24"/>
        </w:rPr>
        <w:fldChar w:fldCharType="end"/>
      </w: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begin"/>
      </w:r>
      <w:r>
        <w:rPr>
          <w:rFonts w:hint="eastAsia" w:ascii="宋体" w:hAnsi="宋体" w:eastAsia="宋体" w:cs="宋体"/>
          <w:bCs/>
          <w:sz w:val="24"/>
          <w:szCs w:val="24"/>
          <w:lang w:val="en-US" w:eastAsia="zh-CN"/>
        </w:rPr>
        <w:instrText xml:space="preserve"> HYPERLINK \l _Toc4740 </w:instrText>
      </w:r>
      <w:r>
        <w:rPr>
          <w:rFonts w:hint="eastAsia" w:ascii="宋体" w:hAnsi="宋体" w:eastAsia="宋体" w:cs="宋体"/>
          <w:bCs/>
          <w:sz w:val="24"/>
          <w:szCs w:val="24"/>
          <w:lang w:val="en-US" w:eastAsia="zh-CN"/>
        </w:rPr>
        <w:fldChar w:fldCharType="separate"/>
      </w:r>
      <w:r>
        <w:rPr>
          <w:rFonts w:hint="eastAsia" w:ascii="宋体" w:hAnsi="宋体" w:eastAsia="宋体" w:cs="宋体"/>
          <w:bCs/>
          <w:kern w:val="0"/>
          <w:sz w:val="24"/>
          <w:szCs w:val="24"/>
          <w:lang w:val="en-US" w:eastAsia="zh-CN" w:bidi="ar"/>
        </w:rPr>
        <w:t>1.加强思想政治教育，打造“三全育人”品牌</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_Toc4740 \h </w:instrText>
      </w:r>
      <w:r>
        <w:rPr>
          <w:rFonts w:hint="eastAsia" w:ascii="宋体" w:hAnsi="宋体" w:eastAsia="宋体" w:cs="宋体"/>
          <w:sz w:val="24"/>
          <w:szCs w:val="24"/>
        </w:rPr>
        <w:fldChar w:fldCharType="separate"/>
      </w:r>
      <w:r>
        <w:rPr>
          <w:rFonts w:hint="eastAsia" w:ascii="宋体" w:hAnsi="宋体" w:eastAsia="宋体" w:cs="宋体"/>
          <w:sz w:val="24"/>
          <w:szCs w:val="24"/>
        </w:rPr>
        <w:t>24</w:t>
      </w:r>
      <w:r>
        <w:rPr>
          <w:rFonts w:hint="eastAsia" w:ascii="宋体" w:hAnsi="宋体" w:eastAsia="宋体" w:cs="宋体"/>
          <w:sz w:val="24"/>
          <w:szCs w:val="24"/>
        </w:rPr>
        <w:fldChar w:fldCharType="end"/>
      </w: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begin"/>
      </w:r>
      <w:r>
        <w:rPr>
          <w:rFonts w:hint="eastAsia" w:ascii="宋体" w:hAnsi="宋体" w:eastAsia="宋体" w:cs="宋体"/>
          <w:bCs/>
          <w:sz w:val="24"/>
          <w:szCs w:val="24"/>
          <w:lang w:val="en-US" w:eastAsia="zh-CN"/>
        </w:rPr>
        <w:instrText xml:space="preserve"> HYPERLINK \l _Toc23563 </w:instrText>
      </w:r>
      <w:r>
        <w:rPr>
          <w:rFonts w:hint="eastAsia" w:ascii="宋体" w:hAnsi="宋体" w:eastAsia="宋体" w:cs="宋体"/>
          <w:bCs/>
          <w:sz w:val="24"/>
          <w:szCs w:val="24"/>
          <w:lang w:val="en-US" w:eastAsia="zh-CN"/>
        </w:rPr>
        <w:fldChar w:fldCharType="separate"/>
      </w:r>
      <w:r>
        <w:rPr>
          <w:rFonts w:hint="eastAsia" w:ascii="宋体" w:hAnsi="宋体" w:eastAsia="宋体" w:cs="宋体"/>
          <w:bCs/>
          <w:kern w:val="0"/>
          <w:sz w:val="24"/>
          <w:szCs w:val="24"/>
          <w:lang w:val="en-US" w:eastAsia="zh-CN" w:bidi="ar"/>
        </w:rPr>
        <w:t>2.丰富校园文化载体，弘扬优良办学传统</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_Toc23563 \h </w:instrText>
      </w:r>
      <w:r>
        <w:rPr>
          <w:rFonts w:hint="eastAsia" w:ascii="宋体" w:hAnsi="宋体" w:eastAsia="宋体" w:cs="宋体"/>
          <w:sz w:val="24"/>
          <w:szCs w:val="24"/>
        </w:rPr>
        <w:fldChar w:fldCharType="separate"/>
      </w:r>
      <w:r>
        <w:rPr>
          <w:rFonts w:hint="eastAsia" w:ascii="宋体" w:hAnsi="宋体" w:eastAsia="宋体" w:cs="宋体"/>
          <w:sz w:val="24"/>
          <w:szCs w:val="24"/>
        </w:rPr>
        <w:t>25</w:t>
      </w:r>
      <w:r>
        <w:rPr>
          <w:rFonts w:hint="eastAsia" w:ascii="宋体" w:hAnsi="宋体" w:eastAsia="宋体" w:cs="宋体"/>
          <w:sz w:val="24"/>
          <w:szCs w:val="24"/>
        </w:rPr>
        <w:fldChar w:fldCharType="end"/>
      </w: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begin"/>
      </w:r>
      <w:r>
        <w:rPr>
          <w:rFonts w:hint="eastAsia" w:ascii="宋体" w:hAnsi="宋体" w:eastAsia="宋体" w:cs="宋体"/>
          <w:bCs/>
          <w:sz w:val="24"/>
          <w:szCs w:val="24"/>
          <w:lang w:val="en-US" w:eastAsia="zh-CN"/>
        </w:rPr>
        <w:instrText xml:space="preserve"> HYPERLINK \l _Toc30491 </w:instrText>
      </w:r>
      <w:r>
        <w:rPr>
          <w:rFonts w:hint="eastAsia" w:ascii="宋体" w:hAnsi="宋体" w:eastAsia="宋体" w:cs="宋体"/>
          <w:bCs/>
          <w:sz w:val="24"/>
          <w:szCs w:val="24"/>
          <w:lang w:val="en-US" w:eastAsia="zh-CN"/>
        </w:rPr>
        <w:fldChar w:fldCharType="separate"/>
      </w:r>
      <w:r>
        <w:rPr>
          <w:rFonts w:hint="eastAsia" w:ascii="宋体" w:hAnsi="宋体" w:eastAsia="宋体" w:cs="宋体"/>
          <w:bCs/>
          <w:kern w:val="0"/>
          <w:sz w:val="24"/>
          <w:szCs w:val="24"/>
          <w:lang w:val="en-US" w:eastAsia="zh-CN" w:bidi="ar"/>
        </w:rPr>
        <w:t>3.共享文明创建成果，创建和谐平安校园</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_Toc30491 \h </w:instrText>
      </w:r>
      <w:r>
        <w:rPr>
          <w:rFonts w:hint="eastAsia" w:ascii="宋体" w:hAnsi="宋体" w:eastAsia="宋体" w:cs="宋体"/>
          <w:sz w:val="24"/>
          <w:szCs w:val="24"/>
        </w:rPr>
        <w:fldChar w:fldCharType="separate"/>
      </w:r>
      <w:r>
        <w:rPr>
          <w:rFonts w:hint="eastAsia" w:ascii="宋体" w:hAnsi="宋体" w:eastAsia="宋体" w:cs="宋体"/>
          <w:sz w:val="24"/>
          <w:szCs w:val="24"/>
        </w:rPr>
        <w:t>25</w:t>
      </w:r>
      <w:r>
        <w:rPr>
          <w:rFonts w:hint="eastAsia" w:ascii="宋体" w:hAnsi="宋体" w:eastAsia="宋体" w:cs="宋体"/>
          <w:sz w:val="24"/>
          <w:szCs w:val="24"/>
        </w:rPr>
        <w:fldChar w:fldCharType="end"/>
      </w: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begin"/>
      </w:r>
      <w:r>
        <w:rPr>
          <w:rFonts w:hint="eastAsia" w:ascii="宋体" w:hAnsi="宋体" w:eastAsia="宋体" w:cs="宋体"/>
          <w:bCs/>
          <w:sz w:val="24"/>
          <w:szCs w:val="24"/>
          <w:lang w:val="en-US" w:eastAsia="zh-CN"/>
        </w:rPr>
        <w:instrText xml:space="preserve"> HYPERLINK \l _Toc596 </w:instrText>
      </w:r>
      <w:r>
        <w:rPr>
          <w:rFonts w:hint="eastAsia" w:ascii="宋体" w:hAnsi="宋体" w:eastAsia="宋体" w:cs="宋体"/>
          <w:bCs/>
          <w:sz w:val="24"/>
          <w:szCs w:val="24"/>
          <w:lang w:val="en-US" w:eastAsia="zh-CN"/>
        </w:rPr>
        <w:fldChar w:fldCharType="separate"/>
      </w:r>
      <w:r>
        <w:rPr>
          <w:rFonts w:hint="eastAsia" w:ascii="宋体" w:hAnsi="宋体" w:eastAsia="宋体" w:cs="宋体"/>
          <w:bCs/>
          <w:kern w:val="0"/>
          <w:sz w:val="24"/>
          <w:szCs w:val="24"/>
          <w:lang w:val="en-US" w:eastAsia="zh-CN" w:bidi="ar"/>
        </w:rPr>
        <w:t>（八）以推进管理体制改革为</w:t>
      </w:r>
      <w:r>
        <w:rPr>
          <w:rFonts w:hint="eastAsia" w:ascii="宋体" w:hAnsi="宋体" w:cs="宋体"/>
          <w:bCs/>
          <w:kern w:val="0"/>
          <w:sz w:val="24"/>
          <w:szCs w:val="24"/>
          <w:lang w:val="en-US" w:eastAsia="zh-CN" w:bidi="ar"/>
        </w:rPr>
        <w:t>动力</w:t>
      </w:r>
      <w:r>
        <w:rPr>
          <w:rFonts w:hint="eastAsia" w:ascii="宋体" w:hAnsi="宋体" w:eastAsia="宋体" w:cs="宋体"/>
          <w:bCs/>
          <w:kern w:val="0"/>
          <w:sz w:val="24"/>
          <w:szCs w:val="24"/>
          <w:lang w:val="en-US" w:eastAsia="zh-CN" w:bidi="ar"/>
        </w:rPr>
        <w:t>，构建现代大学治理能力提升新机制</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_Toc596 \h </w:instrText>
      </w:r>
      <w:r>
        <w:rPr>
          <w:rFonts w:hint="eastAsia" w:ascii="宋体" w:hAnsi="宋体" w:eastAsia="宋体" w:cs="宋体"/>
          <w:sz w:val="24"/>
          <w:szCs w:val="24"/>
        </w:rPr>
        <w:fldChar w:fldCharType="separate"/>
      </w:r>
      <w:r>
        <w:rPr>
          <w:rFonts w:hint="eastAsia" w:ascii="宋体" w:hAnsi="宋体" w:eastAsia="宋体" w:cs="宋体"/>
          <w:sz w:val="24"/>
          <w:szCs w:val="24"/>
        </w:rPr>
        <w:t>25</w:t>
      </w:r>
      <w:r>
        <w:rPr>
          <w:rFonts w:hint="eastAsia" w:ascii="宋体" w:hAnsi="宋体" w:eastAsia="宋体" w:cs="宋体"/>
          <w:sz w:val="24"/>
          <w:szCs w:val="24"/>
        </w:rPr>
        <w:fldChar w:fldCharType="end"/>
      </w: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begin"/>
      </w:r>
      <w:r>
        <w:rPr>
          <w:rFonts w:hint="eastAsia" w:ascii="宋体" w:hAnsi="宋体" w:eastAsia="宋体" w:cs="宋体"/>
          <w:bCs/>
          <w:sz w:val="24"/>
          <w:szCs w:val="24"/>
          <w:lang w:val="en-US" w:eastAsia="zh-CN"/>
        </w:rPr>
        <w:instrText xml:space="preserve"> HYPERLINK \l _Toc19543 </w:instrText>
      </w:r>
      <w:r>
        <w:rPr>
          <w:rFonts w:hint="eastAsia" w:ascii="宋体" w:hAnsi="宋体" w:eastAsia="宋体" w:cs="宋体"/>
          <w:bCs/>
          <w:sz w:val="24"/>
          <w:szCs w:val="24"/>
          <w:lang w:val="en-US" w:eastAsia="zh-CN"/>
        </w:rPr>
        <w:fldChar w:fldCharType="separate"/>
      </w:r>
      <w:r>
        <w:rPr>
          <w:rFonts w:hint="eastAsia" w:ascii="宋体" w:hAnsi="宋体" w:eastAsia="宋体" w:cs="宋体"/>
          <w:bCs/>
          <w:kern w:val="0"/>
          <w:sz w:val="24"/>
          <w:szCs w:val="24"/>
          <w:lang w:val="en-US" w:eastAsia="zh-CN" w:bidi="ar"/>
        </w:rPr>
        <w:t>1.优化内部治理结构，打造高效运行机制</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_Toc19543 \h </w:instrText>
      </w:r>
      <w:r>
        <w:rPr>
          <w:rFonts w:hint="eastAsia" w:ascii="宋体" w:hAnsi="宋体" w:eastAsia="宋体" w:cs="宋体"/>
          <w:sz w:val="24"/>
          <w:szCs w:val="24"/>
        </w:rPr>
        <w:fldChar w:fldCharType="separate"/>
      </w:r>
      <w:r>
        <w:rPr>
          <w:rFonts w:hint="eastAsia" w:ascii="宋体" w:hAnsi="宋体" w:eastAsia="宋体" w:cs="宋体"/>
          <w:sz w:val="24"/>
          <w:szCs w:val="24"/>
        </w:rPr>
        <w:t>26</w:t>
      </w:r>
      <w:r>
        <w:rPr>
          <w:rFonts w:hint="eastAsia" w:ascii="宋体" w:hAnsi="宋体" w:eastAsia="宋体" w:cs="宋体"/>
          <w:sz w:val="24"/>
          <w:szCs w:val="24"/>
        </w:rPr>
        <w:fldChar w:fldCharType="end"/>
      </w: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begin"/>
      </w:r>
      <w:r>
        <w:rPr>
          <w:rFonts w:hint="eastAsia" w:ascii="宋体" w:hAnsi="宋体" w:eastAsia="宋体" w:cs="宋体"/>
          <w:bCs/>
          <w:sz w:val="24"/>
          <w:szCs w:val="24"/>
          <w:lang w:val="en-US" w:eastAsia="zh-CN"/>
        </w:rPr>
        <w:instrText xml:space="preserve"> HYPERLINK \l _Toc26743 </w:instrText>
      </w:r>
      <w:r>
        <w:rPr>
          <w:rFonts w:hint="eastAsia" w:ascii="宋体" w:hAnsi="宋体" w:eastAsia="宋体" w:cs="宋体"/>
          <w:bCs/>
          <w:sz w:val="24"/>
          <w:szCs w:val="24"/>
          <w:lang w:val="en-US" w:eastAsia="zh-CN"/>
        </w:rPr>
        <w:fldChar w:fldCharType="separate"/>
      </w:r>
      <w:r>
        <w:rPr>
          <w:rFonts w:hint="eastAsia" w:ascii="宋体" w:hAnsi="宋体" w:eastAsia="宋体" w:cs="宋体"/>
          <w:bCs/>
          <w:kern w:val="0"/>
          <w:sz w:val="24"/>
          <w:szCs w:val="24"/>
          <w:lang w:val="en-US" w:eastAsia="zh-CN" w:bidi="ar"/>
        </w:rPr>
        <w:t>2.加强校院两级管理，激发学院办学活力</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_Toc26743 \h </w:instrText>
      </w:r>
      <w:r>
        <w:rPr>
          <w:rFonts w:hint="eastAsia" w:ascii="宋体" w:hAnsi="宋体" w:eastAsia="宋体" w:cs="宋体"/>
          <w:sz w:val="24"/>
          <w:szCs w:val="24"/>
        </w:rPr>
        <w:fldChar w:fldCharType="separate"/>
      </w:r>
      <w:r>
        <w:rPr>
          <w:rFonts w:hint="eastAsia" w:ascii="宋体" w:hAnsi="宋体" w:eastAsia="宋体" w:cs="宋体"/>
          <w:sz w:val="24"/>
          <w:szCs w:val="24"/>
        </w:rPr>
        <w:t>26</w:t>
      </w:r>
      <w:r>
        <w:rPr>
          <w:rFonts w:hint="eastAsia" w:ascii="宋体" w:hAnsi="宋体" w:eastAsia="宋体" w:cs="宋体"/>
          <w:sz w:val="24"/>
          <w:szCs w:val="24"/>
        </w:rPr>
        <w:fldChar w:fldCharType="end"/>
      </w: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begin"/>
      </w:r>
      <w:r>
        <w:rPr>
          <w:rFonts w:hint="eastAsia" w:ascii="宋体" w:hAnsi="宋体" w:eastAsia="宋体" w:cs="宋体"/>
          <w:bCs/>
          <w:sz w:val="24"/>
          <w:szCs w:val="24"/>
          <w:lang w:val="en-US" w:eastAsia="zh-CN"/>
        </w:rPr>
        <w:instrText xml:space="preserve"> HYPERLINK \l _Toc11792 </w:instrText>
      </w:r>
      <w:r>
        <w:rPr>
          <w:rFonts w:hint="eastAsia" w:ascii="宋体" w:hAnsi="宋体" w:eastAsia="宋体" w:cs="宋体"/>
          <w:bCs/>
          <w:sz w:val="24"/>
          <w:szCs w:val="24"/>
          <w:lang w:val="en-US" w:eastAsia="zh-CN"/>
        </w:rPr>
        <w:fldChar w:fldCharType="separate"/>
      </w:r>
      <w:r>
        <w:rPr>
          <w:rFonts w:hint="eastAsia" w:ascii="宋体" w:hAnsi="宋体" w:eastAsia="宋体" w:cs="宋体"/>
          <w:b/>
          <w:bCs w:val="0"/>
          <w:kern w:val="0"/>
          <w:sz w:val="24"/>
          <w:szCs w:val="24"/>
          <w:lang w:val="en-US" w:eastAsia="zh-CN" w:bidi="ar"/>
        </w:rPr>
        <w:t>五、保障与实施</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_Toc11792 \h </w:instrText>
      </w:r>
      <w:r>
        <w:rPr>
          <w:rFonts w:hint="eastAsia" w:ascii="宋体" w:hAnsi="宋体" w:eastAsia="宋体" w:cs="宋体"/>
          <w:sz w:val="24"/>
          <w:szCs w:val="24"/>
        </w:rPr>
        <w:fldChar w:fldCharType="separate"/>
      </w:r>
      <w:r>
        <w:rPr>
          <w:rFonts w:hint="eastAsia" w:ascii="宋体" w:hAnsi="宋体" w:eastAsia="宋体" w:cs="宋体"/>
          <w:sz w:val="24"/>
          <w:szCs w:val="24"/>
        </w:rPr>
        <w:t>26</w:t>
      </w:r>
      <w:r>
        <w:rPr>
          <w:rFonts w:hint="eastAsia" w:ascii="宋体" w:hAnsi="宋体" w:eastAsia="宋体" w:cs="宋体"/>
          <w:sz w:val="24"/>
          <w:szCs w:val="24"/>
        </w:rPr>
        <w:fldChar w:fldCharType="end"/>
      </w: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begin"/>
      </w:r>
      <w:r>
        <w:rPr>
          <w:rFonts w:hint="eastAsia" w:ascii="宋体" w:hAnsi="宋体" w:eastAsia="宋体" w:cs="宋体"/>
          <w:bCs/>
          <w:sz w:val="24"/>
          <w:szCs w:val="24"/>
          <w:lang w:val="en-US" w:eastAsia="zh-CN"/>
        </w:rPr>
        <w:instrText xml:space="preserve"> HYPERLINK \l _Toc13833 </w:instrText>
      </w:r>
      <w:r>
        <w:rPr>
          <w:rFonts w:hint="eastAsia" w:ascii="宋体" w:hAnsi="宋体" w:eastAsia="宋体" w:cs="宋体"/>
          <w:bCs/>
          <w:sz w:val="24"/>
          <w:szCs w:val="24"/>
          <w:lang w:val="en-US" w:eastAsia="zh-CN"/>
        </w:rPr>
        <w:fldChar w:fldCharType="separate"/>
      </w:r>
      <w:r>
        <w:rPr>
          <w:rFonts w:hint="eastAsia" w:ascii="宋体" w:hAnsi="宋体" w:eastAsia="宋体" w:cs="宋体"/>
          <w:sz w:val="24"/>
          <w:szCs w:val="24"/>
        </w:rPr>
        <w:t>（</w:t>
      </w:r>
      <w:r>
        <w:rPr>
          <w:rFonts w:hint="eastAsia" w:ascii="宋体" w:hAnsi="宋体" w:eastAsia="宋体" w:cs="宋体"/>
          <w:sz w:val="24"/>
          <w:szCs w:val="24"/>
          <w:lang w:eastAsia="zh-CN"/>
        </w:rPr>
        <w:t>一</w:t>
      </w:r>
      <w:r>
        <w:rPr>
          <w:rFonts w:hint="eastAsia" w:ascii="宋体" w:hAnsi="宋体" w:eastAsia="宋体" w:cs="宋体"/>
          <w:sz w:val="24"/>
          <w:szCs w:val="24"/>
        </w:rPr>
        <w:t>）完善资源配置，强化条件保障</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_Toc13833 \h </w:instrText>
      </w:r>
      <w:r>
        <w:rPr>
          <w:rFonts w:hint="eastAsia" w:ascii="宋体" w:hAnsi="宋体" w:eastAsia="宋体" w:cs="宋体"/>
          <w:sz w:val="24"/>
          <w:szCs w:val="24"/>
        </w:rPr>
        <w:fldChar w:fldCharType="separate"/>
      </w:r>
      <w:r>
        <w:rPr>
          <w:rFonts w:hint="eastAsia" w:ascii="宋体" w:hAnsi="宋体" w:eastAsia="宋体" w:cs="宋体"/>
          <w:sz w:val="24"/>
          <w:szCs w:val="24"/>
        </w:rPr>
        <w:t>26</w:t>
      </w:r>
      <w:r>
        <w:rPr>
          <w:rFonts w:hint="eastAsia" w:ascii="宋体" w:hAnsi="宋体" w:eastAsia="宋体" w:cs="宋体"/>
          <w:sz w:val="24"/>
          <w:szCs w:val="24"/>
        </w:rPr>
        <w:fldChar w:fldCharType="end"/>
      </w: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begin"/>
      </w:r>
      <w:r>
        <w:rPr>
          <w:rFonts w:hint="eastAsia" w:ascii="宋体" w:hAnsi="宋体" w:eastAsia="宋体" w:cs="宋体"/>
          <w:bCs/>
          <w:sz w:val="24"/>
          <w:szCs w:val="24"/>
          <w:lang w:val="en-US" w:eastAsia="zh-CN"/>
        </w:rPr>
        <w:instrText xml:space="preserve"> HYPERLINK \l _Toc24519 </w:instrText>
      </w:r>
      <w:r>
        <w:rPr>
          <w:rFonts w:hint="eastAsia" w:ascii="宋体" w:hAnsi="宋体" w:eastAsia="宋体" w:cs="宋体"/>
          <w:bCs/>
          <w:sz w:val="24"/>
          <w:szCs w:val="24"/>
          <w:lang w:val="en-US" w:eastAsia="zh-CN"/>
        </w:rPr>
        <w:fldChar w:fldCharType="separate"/>
      </w:r>
      <w:r>
        <w:rPr>
          <w:rFonts w:hint="eastAsia" w:ascii="宋体" w:hAnsi="宋体" w:eastAsia="宋体" w:cs="宋体"/>
          <w:bCs/>
          <w:kern w:val="0"/>
          <w:sz w:val="24"/>
          <w:szCs w:val="24"/>
          <w:lang w:val="en-US" w:eastAsia="zh-CN"/>
        </w:rPr>
        <w:t>1.加快教育信息化建设，打造</w:t>
      </w:r>
      <w:r>
        <w:rPr>
          <w:rFonts w:hint="eastAsia" w:ascii="宋体" w:hAnsi="宋体" w:cs="宋体"/>
          <w:bCs/>
          <w:color w:val="0000FF"/>
          <w:kern w:val="0"/>
          <w:sz w:val="24"/>
          <w:szCs w:val="24"/>
          <w:lang w:val="en-US" w:eastAsia="zh-CN"/>
        </w:rPr>
        <w:t>现代</w:t>
      </w:r>
      <w:r>
        <w:rPr>
          <w:rFonts w:hint="eastAsia" w:ascii="宋体" w:hAnsi="宋体" w:eastAsia="宋体" w:cs="宋体"/>
          <w:bCs/>
          <w:kern w:val="0"/>
          <w:sz w:val="24"/>
          <w:szCs w:val="24"/>
          <w:lang w:val="en-US" w:eastAsia="zh-CN"/>
        </w:rPr>
        <w:t>智慧校园</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_Toc24519 \h </w:instrText>
      </w:r>
      <w:r>
        <w:rPr>
          <w:rFonts w:hint="eastAsia" w:ascii="宋体" w:hAnsi="宋体" w:eastAsia="宋体" w:cs="宋体"/>
          <w:sz w:val="24"/>
          <w:szCs w:val="24"/>
        </w:rPr>
        <w:fldChar w:fldCharType="separate"/>
      </w:r>
      <w:r>
        <w:rPr>
          <w:rFonts w:hint="eastAsia" w:ascii="宋体" w:hAnsi="宋体" w:eastAsia="宋体" w:cs="宋体"/>
          <w:sz w:val="24"/>
          <w:szCs w:val="24"/>
        </w:rPr>
        <w:t>27</w:t>
      </w:r>
      <w:r>
        <w:rPr>
          <w:rFonts w:hint="eastAsia" w:ascii="宋体" w:hAnsi="宋体" w:eastAsia="宋体" w:cs="宋体"/>
          <w:sz w:val="24"/>
          <w:szCs w:val="24"/>
        </w:rPr>
        <w:fldChar w:fldCharType="end"/>
      </w: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begin"/>
      </w:r>
      <w:r>
        <w:rPr>
          <w:rFonts w:hint="eastAsia" w:ascii="宋体" w:hAnsi="宋体" w:eastAsia="宋体" w:cs="宋体"/>
          <w:bCs/>
          <w:sz w:val="24"/>
          <w:szCs w:val="24"/>
          <w:lang w:val="en-US" w:eastAsia="zh-CN"/>
        </w:rPr>
        <w:instrText xml:space="preserve"> HYPERLINK \l _Toc31167 </w:instrText>
      </w:r>
      <w:r>
        <w:rPr>
          <w:rFonts w:hint="eastAsia" w:ascii="宋体" w:hAnsi="宋体" w:eastAsia="宋体" w:cs="宋体"/>
          <w:bCs/>
          <w:sz w:val="24"/>
          <w:szCs w:val="24"/>
          <w:lang w:val="en-US" w:eastAsia="zh-CN"/>
        </w:rPr>
        <w:fldChar w:fldCharType="separate"/>
      </w:r>
      <w:r>
        <w:rPr>
          <w:rFonts w:hint="eastAsia" w:ascii="宋体" w:hAnsi="宋体" w:eastAsia="宋体" w:cs="宋体"/>
          <w:bCs/>
          <w:kern w:val="0"/>
          <w:sz w:val="24"/>
          <w:szCs w:val="24"/>
          <w:lang w:val="en-US" w:eastAsia="zh-CN"/>
        </w:rPr>
        <w:t>2.推进校园基础建设，强化办学条件保障</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_Toc31167 \h </w:instrText>
      </w:r>
      <w:r>
        <w:rPr>
          <w:rFonts w:hint="eastAsia" w:ascii="宋体" w:hAnsi="宋体" w:eastAsia="宋体" w:cs="宋体"/>
          <w:sz w:val="24"/>
          <w:szCs w:val="24"/>
        </w:rPr>
        <w:fldChar w:fldCharType="separate"/>
      </w:r>
      <w:r>
        <w:rPr>
          <w:rFonts w:hint="eastAsia" w:ascii="宋体" w:hAnsi="宋体" w:eastAsia="宋体" w:cs="宋体"/>
          <w:sz w:val="24"/>
          <w:szCs w:val="24"/>
        </w:rPr>
        <w:t>27</w:t>
      </w:r>
      <w:r>
        <w:rPr>
          <w:rFonts w:hint="eastAsia" w:ascii="宋体" w:hAnsi="宋体" w:eastAsia="宋体" w:cs="宋体"/>
          <w:sz w:val="24"/>
          <w:szCs w:val="24"/>
        </w:rPr>
        <w:fldChar w:fldCharType="end"/>
      </w: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begin"/>
      </w:r>
      <w:r>
        <w:rPr>
          <w:rFonts w:hint="eastAsia" w:ascii="宋体" w:hAnsi="宋体" w:eastAsia="宋体" w:cs="宋体"/>
          <w:bCs/>
          <w:sz w:val="24"/>
          <w:szCs w:val="24"/>
          <w:lang w:val="en-US" w:eastAsia="zh-CN"/>
        </w:rPr>
        <w:instrText xml:space="preserve"> HYPERLINK \l _Toc4523 </w:instrText>
      </w:r>
      <w:r>
        <w:rPr>
          <w:rFonts w:hint="eastAsia" w:ascii="宋体" w:hAnsi="宋体" w:eastAsia="宋体" w:cs="宋体"/>
          <w:bCs/>
          <w:sz w:val="24"/>
          <w:szCs w:val="24"/>
          <w:lang w:val="en-US" w:eastAsia="zh-CN"/>
        </w:rPr>
        <w:fldChar w:fldCharType="separate"/>
      </w:r>
      <w:r>
        <w:rPr>
          <w:rFonts w:hint="eastAsia" w:ascii="宋体" w:hAnsi="宋体" w:eastAsia="宋体" w:cs="宋体"/>
          <w:bCs/>
          <w:kern w:val="0"/>
          <w:sz w:val="24"/>
          <w:szCs w:val="24"/>
          <w:lang w:val="en-US" w:eastAsia="zh-CN" w:bidi="zh-CN"/>
        </w:rPr>
        <w:t>3.加大开放办学力度，积极拓展办学空间</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_Toc4523 \h </w:instrText>
      </w:r>
      <w:r>
        <w:rPr>
          <w:rFonts w:hint="eastAsia" w:ascii="宋体" w:hAnsi="宋体" w:eastAsia="宋体" w:cs="宋体"/>
          <w:sz w:val="24"/>
          <w:szCs w:val="24"/>
        </w:rPr>
        <w:fldChar w:fldCharType="separate"/>
      </w:r>
      <w:r>
        <w:rPr>
          <w:rFonts w:hint="eastAsia" w:ascii="宋体" w:hAnsi="宋体" w:eastAsia="宋体" w:cs="宋体"/>
          <w:sz w:val="24"/>
          <w:szCs w:val="24"/>
        </w:rPr>
        <w:t>28</w:t>
      </w:r>
      <w:r>
        <w:rPr>
          <w:rFonts w:hint="eastAsia" w:ascii="宋体" w:hAnsi="宋体" w:eastAsia="宋体" w:cs="宋体"/>
          <w:sz w:val="24"/>
          <w:szCs w:val="24"/>
        </w:rPr>
        <w:fldChar w:fldCharType="end"/>
      </w: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begin"/>
      </w:r>
      <w:r>
        <w:rPr>
          <w:rFonts w:hint="eastAsia" w:ascii="宋体" w:hAnsi="宋体" w:eastAsia="宋体" w:cs="宋体"/>
          <w:bCs/>
          <w:sz w:val="24"/>
          <w:szCs w:val="24"/>
          <w:lang w:val="en-US" w:eastAsia="zh-CN"/>
        </w:rPr>
        <w:instrText xml:space="preserve"> HYPERLINK \l _Toc22046 </w:instrText>
      </w:r>
      <w:r>
        <w:rPr>
          <w:rFonts w:hint="eastAsia" w:ascii="宋体" w:hAnsi="宋体" w:eastAsia="宋体" w:cs="宋体"/>
          <w:bCs/>
          <w:sz w:val="24"/>
          <w:szCs w:val="24"/>
          <w:lang w:val="en-US" w:eastAsia="zh-CN"/>
        </w:rPr>
        <w:fldChar w:fldCharType="separate"/>
      </w:r>
      <w:r>
        <w:rPr>
          <w:rFonts w:hint="eastAsia" w:ascii="宋体" w:hAnsi="宋体" w:eastAsia="宋体" w:cs="宋体"/>
          <w:bCs/>
          <w:kern w:val="0"/>
          <w:sz w:val="24"/>
          <w:szCs w:val="24"/>
          <w:lang w:val="en-US" w:eastAsia="zh-CN" w:bidi="ar"/>
        </w:rPr>
        <w:t>4.加强财务精细化管理，优化办学资源要素</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_Toc22046 \h </w:instrText>
      </w:r>
      <w:r>
        <w:rPr>
          <w:rFonts w:hint="eastAsia" w:ascii="宋体" w:hAnsi="宋体" w:eastAsia="宋体" w:cs="宋体"/>
          <w:sz w:val="24"/>
          <w:szCs w:val="24"/>
        </w:rPr>
        <w:fldChar w:fldCharType="separate"/>
      </w:r>
      <w:r>
        <w:rPr>
          <w:rFonts w:hint="eastAsia" w:ascii="宋体" w:hAnsi="宋体" w:eastAsia="宋体" w:cs="宋体"/>
          <w:sz w:val="24"/>
          <w:szCs w:val="24"/>
        </w:rPr>
        <w:t>28</w:t>
      </w:r>
      <w:r>
        <w:rPr>
          <w:rFonts w:hint="eastAsia" w:ascii="宋体" w:hAnsi="宋体" w:eastAsia="宋体" w:cs="宋体"/>
          <w:sz w:val="24"/>
          <w:szCs w:val="24"/>
        </w:rPr>
        <w:fldChar w:fldCharType="end"/>
      </w: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begin"/>
      </w:r>
      <w:r>
        <w:rPr>
          <w:rFonts w:hint="eastAsia" w:ascii="宋体" w:hAnsi="宋体" w:eastAsia="宋体" w:cs="宋体"/>
          <w:bCs/>
          <w:sz w:val="24"/>
          <w:szCs w:val="24"/>
          <w:lang w:val="en-US" w:eastAsia="zh-CN"/>
        </w:rPr>
        <w:instrText xml:space="preserve"> HYPERLINK \l _Toc27413 </w:instrText>
      </w:r>
      <w:r>
        <w:rPr>
          <w:rFonts w:hint="eastAsia" w:ascii="宋体" w:hAnsi="宋体" w:eastAsia="宋体" w:cs="宋体"/>
          <w:bCs/>
          <w:sz w:val="24"/>
          <w:szCs w:val="24"/>
          <w:lang w:val="en-US" w:eastAsia="zh-CN"/>
        </w:rPr>
        <w:fldChar w:fldCharType="separate"/>
      </w:r>
      <w:r>
        <w:rPr>
          <w:rFonts w:hint="eastAsia" w:ascii="宋体" w:hAnsi="宋体" w:eastAsia="宋体" w:cs="宋体"/>
          <w:bCs/>
          <w:kern w:val="0"/>
          <w:sz w:val="24"/>
          <w:szCs w:val="24"/>
          <w:lang w:val="en-US" w:eastAsia="zh-CN"/>
        </w:rPr>
        <w:t>5.完善后勤服务保障体系，打造服务育人阵地</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_Toc27413 \h </w:instrText>
      </w:r>
      <w:r>
        <w:rPr>
          <w:rFonts w:hint="eastAsia" w:ascii="宋体" w:hAnsi="宋体" w:eastAsia="宋体" w:cs="宋体"/>
          <w:sz w:val="24"/>
          <w:szCs w:val="24"/>
        </w:rPr>
        <w:fldChar w:fldCharType="separate"/>
      </w:r>
      <w:r>
        <w:rPr>
          <w:rFonts w:hint="eastAsia" w:ascii="宋体" w:hAnsi="宋体" w:eastAsia="宋体" w:cs="宋体"/>
          <w:sz w:val="24"/>
          <w:szCs w:val="24"/>
        </w:rPr>
        <w:t>28</w:t>
      </w:r>
      <w:r>
        <w:rPr>
          <w:rFonts w:hint="eastAsia" w:ascii="宋体" w:hAnsi="宋体" w:eastAsia="宋体" w:cs="宋体"/>
          <w:sz w:val="24"/>
          <w:szCs w:val="24"/>
        </w:rPr>
        <w:fldChar w:fldCharType="end"/>
      </w: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begin"/>
      </w:r>
      <w:r>
        <w:rPr>
          <w:rFonts w:hint="eastAsia" w:ascii="宋体" w:hAnsi="宋体" w:eastAsia="宋体" w:cs="宋体"/>
          <w:bCs/>
          <w:sz w:val="24"/>
          <w:szCs w:val="24"/>
          <w:lang w:val="en-US" w:eastAsia="zh-CN"/>
        </w:rPr>
        <w:instrText xml:space="preserve"> HYPERLINK \l _Toc12397 </w:instrText>
      </w:r>
      <w:r>
        <w:rPr>
          <w:rFonts w:hint="eastAsia" w:ascii="宋体" w:hAnsi="宋体" w:eastAsia="宋体" w:cs="宋体"/>
          <w:bCs/>
          <w:sz w:val="24"/>
          <w:szCs w:val="24"/>
          <w:lang w:val="en-US" w:eastAsia="zh-CN"/>
        </w:rPr>
        <w:fldChar w:fldCharType="separate"/>
      </w:r>
      <w:r>
        <w:rPr>
          <w:rFonts w:hint="eastAsia" w:ascii="宋体" w:hAnsi="宋体" w:eastAsia="宋体" w:cs="宋体"/>
          <w:sz w:val="24"/>
          <w:szCs w:val="24"/>
          <w:lang w:eastAsia="zh-CN"/>
        </w:rPr>
        <w:t>（二）</w:t>
      </w:r>
      <w:r>
        <w:rPr>
          <w:rFonts w:hint="eastAsia" w:ascii="宋体" w:hAnsi="宋体" w:eastAsia="宋体" w:cs="宋体"/>
          <w:sz w:val="24"/>
          <w:szCs w:val="24"/>
        </w:rPr>
        <w:t>完善实施体系，强化组织保障</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_Toc12397 \h </w:instrText>
      </w:r>
      <w:r>
        <w:rPr>
          <w:rFonts w:hint="eastAsia" w:ascii="宋体" w:hAnsi="宋体" w:eastAsia="宋体" w:cs="宋体"/>
          <w:sz w:val="24"/>
          <w:szCs w:val="24"/>
        </w:rPr>
        <w:fldChar w:fldCharType="separate"/>
      </w:r>
      <w:r>
        <w:rPr>
          <w:rFonts w:hint="eastAsia" w:ascii="宋体" w:hAnsi="宋体" w:eastAsia="宋体" w:cs="宋体"/>
          <w:sz w:val="24"/>
          <w:szCs w:val="24"/>
        </w:rPr>
        <w:t>28</w:t>
      </w:r>
      <w:r>
        <w:rPr>
          <w:rFonts w:hint="eastAsia" w:ascii="宋体" w:hAnsi="宋体" w:eastAsia="宋体" w:cs="宋体"/>
          <w:sz w:val="24"/>
          <w:szCs w:val="24"/>
        </w:rPr>
        <w:fldChar w:fldCharType="end"/>
      </w: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begin"/>
      </w:r>
      <w:r>
        <w:rPr>
          <w:rFonts w:hint="eastAsia" w:ascii="宋体" w:hAnsi="宋体" w:eastAsia="宋体" w:cs="宋体"/>
          <w:bCs/>
          <w:sz w:val="24"/>
          <w:szCs w:val="24"/>
          <w:lang w:val="en-US" w:eastAsia="zh-CN"/>
        </w:rPr>
        <w:instrText xml:space="preserve"> HYPERLINK \l _Toc4637 </w:instrText>
      </w:r>
      <w:r>
        <w:rPr>
          <w:rFonts w:hint="eastAsia" w:ascii="宋体" w:hAnsi="宋体" w:eastAsia="宋体" w:cs="宋体"/>
          <w:bCs/>
          <w:sz w:val="24"/>
          <w:szCs w:val="24"/>
          <w:lang w:val="en-US" w:eastAsia="zh-CN"/>
        </w:rPr>
        <w:fldChar w:fldCharType="separate"/>
      </w:r>
      <w:r>
        <w:rPr>
          <w:rFonts w:hint="eastAsia" w:ascii="宋体" w:hAnsi="宋体" w:eastAsia="宋体" w:cs="宋体"/>
          <w:sz w:val="24"/>
          <w:szCs w:val="24"/>
          <w:lang w:val="en-US" w:eastAsia="zh-CN"/>
        </w:rPr>
        <w:t>1.</w:t>
      </w:r>
      <w:r>
        <w:rPr>
          <w:rFonts w:hint="eastAsia" w:ascii="宋体" w:hAnsi="宋体" w:eastAsia="宋体" w:cs="宋体"/>
          <w:sz w:val="24"/>
          <w:szCs w:val="24"/>
        </w:rPr>
        <w:t>建立规划组织体系，</w:t>
      </w:r>
      <w:r>
        <w:rPr>
          <w:rFonts w:hint="eastAsia" w:ascii="宋体" w:hAnsi="宋体" w:eastAsia="宋体" w:cs="宋体"/>
          <w:sz w:val="24"/>
          <w:szCs w:val="24"/>
          <w:lang w:eastAsia="zh-CN"/>
        </w:rPr>
        <w:t>做好任务分解</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_Toc4637 \h </w:instrText>
      </w:r>
      <w:r>
        <w:rPr>
          <w:rFonts w:hint="eastAsia" w:ascii="宋体" w:hAnsi="宋体" w:eastAsia="宋体" w:cs="宋体"/>
          <w:sz w:val="24"/>
          <w:szCs w:val="24"/>
        </w:rPr>
        <w:fldChar w:fldCharType="separate"/>
      </w:r>
      <w:r>
        <w:rPr>
          <w:rFonts w:hint="eastAsia" w:ascii="宋体" w:hAnsi="宋体" w:eastAsia="宋体" w:cs="宋体"/>
          <w:sz w:val="24"/>
          <w:szCs w:val="24"/>
        </w:rPr>
        <w:t>29</w:t>
      </w:r>
      <w:r>
        <w:rPr>
          <w:rFonts w:hint="eastAsia" w:ascii="宋体" w:hAnsi="宋体" w:eastAsia="宋体" w:cs="宋体"/>
          <w:sz w:val="24"/>
          <w:szCs w:val="24"/>
        </w:rPr>
        <w:fldChar w:fldCharType="end"/>
      </w: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begin"/>
      </w:r>
      <w:r>
        <w:rPr>
          <w:rFonts w:hint="eastAsia" w:ascii="宋体" w:hAnsi="宋体" w:eastAsia="宋体" w:cs="宋体"/>
          <w:bCs/>
          <w:sz w:val="24"/>
          <w:szCs w:val="24"/>
          <w:lang w:val="en-US" w:eastAsia="zh-CN"/>
        </w:rPr>
        <w:instrText xml:space="preserve"> HYPERLINK \l _Toc23696 </w:instrText>
      </w:r>
      <w:r>
        <w:rPr>
          <w:rFonts w:hint="eastAsia" w:ascii="宋体" w:hAnsi="宋体" w:eastAsia="宋体" w:cs="宋体"/>
          <w:bCs/>
          <w:sz w:val="24"/>
          <w:szCs w:val="24"/>
          <w:lang w:val="en-US" w:eastAsia="zh-CN"/>
        </w:rPr>
        <w:fldChar w:fldCharType="separate"/>
      </w:r>
      <w:r>
        <w:rPr>
          <w:rFonts w:hint="eastAsia" w:ascii="宋体" w:hAnsi="宋体" w:eastAsia="宋体" w:cs="宋体"/>
          <w:bCs/>
          <w:kern w:val="0"/>
          <w:sz w:val="24"/>
          <w:szCs w:val="24"/>
          <w:lang w:val="en-US" w:eastAsia="zh-CN" w:bidi="zh-CN"/>
        </w:rPr>
        <w:t>2.健全目标评估考核，加强督导实施</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_Toc23696 \h </w:instrText>
      </w:r>
      <w:r>
        <w:rPr>
          <w:rFonts w:hint="eastAsia" w:ascii="宋体" w:hAnsi="宋体" w:eastAsia="宋体" w:cs="宋体"/>
          <w:sz w:val="24"/>
          <w:szCs w:val="24"/>
        </w:rPr>
        <w:fldChar w:fldCharType="separate"/>
      </w:r>
      <w:r>
        <w:rPr>
          <w:rFonts w:hint="eastAsia" w:ascii="宋体" w:hAnsi="宋体" w:eastAsia="宋体" w:cs="宋体"/>
          <w:sz w:val="24"/>
          <w:szCs w:val="24"/>
        </w:rPr>
        <w:t>29</w:t>
      </w:r>
      <w:r>
        <w:rPr>
          <w:rFonts w:hint="eastAsia" w:ascii="宋体" w:hAnsi="宋体" w:eastAsia="宋体" w:cs="宋体"/>
          <w:sz w:val="24"/>
          <w:szCs w:val="24"/>
        </w:rPr>
        <w:fldChar w:fldCharType="end"/>
      </w: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begin"/>
      </w:r>
      <w:r>
        <w:rPr>
          <w:rFonts w:hint="eastAsia" w:ascii="宋体" w:hAnsi="宋体" w:eastAsia="宋体" w:cs="宋体"/>
          <w:bCs/>
          <w:sz w:val="24"/>
          <w:szCs w:val="24"/>
          <w:lang w:val="en-US" w:eastAsia="zh-CN"/>
        </w:rPr>
        <w:instrText xml:space="preserve"> HYPERLINK \l _Toc24732 </w:instrText>
      </w:r>
      <w:r>
        <w:rPr>
          <w:rFonts w:hint="eastAsia" w:ascii="宋体" w:hAnsi="宋体" w:eastAsia="宋体" w:cs="宋体"/>
          <w:bCs/>
          <w:sz w:val="24"/>
          <w:szCs w:val="24"/>
          <w:lang w:val="en-US" w:eastAsia="zh-CN"/>
        </w:rPr>
        <w:fldChar w:fldCharType="separate"/>
      </w:r>
      <w:r>
        <w:rPr>
          <w:rFonts w:hint="eastAsia" w:ascii="宋体" w:hAnsi="宋体" w:eastAsia="宋体" w:cs="宋体"/>
          <w:bCs/>
          <w:kern w:val="0"/>
          <w:sz w:val="24"/>
          <w:szCs w:val="24"/>
          <w:lang w:val="en-US" w:eastAsia="zh-CN" w:bidi="zh-CN"/>
        </w:rPr>
        <w:t>3.明确规划先导地位，强化资金保障</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_Toc24732 \h </w:instrText>
      </w:r>
      <w:r>
        <w:rPr>
          <w:rFonts w:hint="eastAsia" w:ascii="宋体" w:hAnsi="宋体" w:eastAsia="宋体" w:cs="宋体"/>
          <w:sz w:val="24"/>
          <w:szCs w:val="24"/>
        </w:rPr>
        <w:fldChar w:fldCharType="separate"/>
      </w:r>
      <w:r>
        <w:rPr>
          <w:rFonts w:hint="eastAsia" w:ascii="宋体" w:hAnsi="宋体" w:eastAsia="宋体" w:cs="宋体"/>
          <w:sz w:val="24"/>
          <w:szCs w:val="24"/>
        </w:rPr>
        <w:t>29</w:t>
      </w:r>
      <w:r>
        <w:rPr>
          <w:rFonts w:hint="eastAsia" w:ascii="宋体" w:hAnsi="宋体" w:eastAsia="宋体" w:cs="宋体"/>
          <w:sz w:val="24"/>
          <w:szCs w:val="24"/>
        </w:rPr>
        <w:fldChar w:fldCharType="end"/>
      </w: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begin"/>
      </w:r>
      <w:r>
        <w:rPr>
          <w:rFonts w:hint="eastAsia" w:ascii="宋体" w:hAnsi="宋体" w:eastAsia="宋体" w:cs="宋体"/>
          <w:bCs/>
          <w:sz w:val="24"/>
          <w:szCs w:val="24"/>
          <w:lang w:val="en-US" w:eastAsia="zh-CN"/>
        </w:rPr>
        <w:instrText xml:space="preserve"> HYPERLINK \l _Toc21627 </w:instrText>
      </w:r>
      <w:r>
        <w:rPr>
          <w:rFonts w:hint="eastAsia" w:ascii="宋体" w:hAnsi="宋体" w:eastAsia="宋体" w:cs="宋体"/>
          <w:bCs/>
          <w:sz w:val="24"/>
          <w:szCs w:val="24"/>
          <w:lang w:val="en-US" w:eastAsia="zh-CN"/>
        </w:rPr>
        <w:fldChar w:fldCharType="separate"/>
      </w:r>
      <w:r>
        <w:rPr>
          <w:rFonts w:hint="eastAsia" w:ascii="宋体" w:hAnsi="宋体" w:eastAsia="宋体" w:cs="宋体"/>
          <w:b/>
          <w:bCs w:val="0"/>
          <w:kern w:val="0"/>
          <w:sz w:val="24"/>
          <w:szCs w:val="24"/>
          <w:lang w:val="en-US" w:eastAsia="zh-CN"/>
        </w:rPr>
        <w:t>附录：信阳农林学院“十四五”主要发展指标对照一览表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_Toc21627 \h </w:instrText>
      </w:r>
      <w:r>
        <w:rPr>
          <w:rFonts w:hint="eastAsia" w:ascii="宋体" w:hAnsi="宋体" w:eastAsia="宋体" w:cs="宋体"/>
          <w:sz w:val="24"/>
          <w:szCs w:val="24"/>
        </w:rPr>
        <w:fldChar w:fldCharType="separate"/>
      </w:r>
      <w:r>
        <w:rPr>
          <w:rFonts w:hint="eastAsia" w:ascii="宋体" w:hAnsi="宋体" w:eastAsia="宋体" w:cs="宋体"/>
          <w:sz w:val="24"/>
          <w:szCs w:val="24"/>
        </w:rPr>
        <w:t>29</w:t>
      </w:r>
      <w:r>
        <w:rPr>
          <w:rFonts w:hint="eastAsia" w:ascii="宋体" w:hAnsi="宋体" w:eastAsia="宋体" w:cs="宋体"/>
          <w:sz w:val="24"/>
          <w:szCs w:val="24"/>
        </w:rPr>
        <w:fldChar w:fldCharType="end"/>
      </w: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end"/>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宋体" w:hAnsi="宋体" w:eastAsia="宋体" w:cs="宋体"/>
          <w:b/>
          <w:bCs/>
          <w:color w:val="000000" w:themeColor="text1"/>
          <w:sz w:val="24"/>
          <w:szCs w:val="24"/>
          <w:u w:val="none"/>
          <w:lang w:val="en-US" w:eastAsia="zh-CN"/>
          <w14:textFill>
            <w14:solidFill>
              <w14:schemeClr w14:val="tx1"/>
            </w14:solidFill>
          </w14:textFill>
        </w:rPr>
        <w:sectPr>
          <w:footerReference r:id="rId5" w:type="default"/>
          <w:pgSz w:w="11906" w:h="16838"/>
          <w:pgMar w:top="1440" w:right="1800" w:bottom="1440" w:left="1800" w:header="851" w:footer="992" w:gutter="0"/>
          <w:cols w:space="720" w:num="1"/>
          <w:docGrid w:type="lines" w:linePitch="312" w:charSpace="0"/>
        </w:sectPr>
      </w:pPr>
      <w:r>
        <w:rPr>
          <w:rFonts w:hint="eastAsia" w:ascii="宋体" w:hAnsi="宋体" w:eastAsia="宋体" w:cs="宋体"/>
          <w:bCs/>
          <w:color w:val="000000" w:themeColor="text1"/>
          <w:sz w:val="24"/>
          <w:szCs w:val="24"/>
          <w:u w:val="none"/>
          <w:lang w:val="en-US" w:eastAsia="zh-CN"/>
          <w14:textFill>
            <w14:solidFill>
              <w14:schemeClr w14:val="tx1"/>
            </w14:solidFill>
          </w14:textFill>
        </w:rPr>
        <w:fldChar w:fldCharType="end"/>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 w:hAnsi="仿宋" w:eastAsia="仿宋" w:cs="仿宋"/>
          <w:b/>
          <w:bCs w:val="0"/>
          <w:color w:val="000000" w:themeColor="text1"/>
          <w:sz w:val="44"/>
          <w:szCs w:val="44"/>
          <w:u w:val="none"/>
          <w:lang w:eastAsia="zh-CN"/>
          <w14:textFill>
            <w14:solidFill>
              <w14:schemeClr w14:val="tx1"/>
            </w14:solidFill>
          </w14:textFill>
        </w:rPr>
      </w:pPr>
      <w:r>
        <w:rPr>
          <w:rFonts w:hint="eastAsia" w:ascii="方正小标宋简体" w:hAnsi="方正小标宋简体" w:eastAsia="方正小标宋简体" w:cs="方正小标宋简体"/>
          <w:b/>
          <w:bCs/>
          <w:color w:val="000000" w:themeColor="text1"/>
          <w:sz w:val="48"/>
          <w:szCs w:val="48"/>
          <w:u w:val="none"/>
          <w:lang w:eastAsia="zh-CN"/>
          <w14:textFill>
            <w14:solidFill>
              <w14:schemeClr w14:val="tx1"/>
            </w14:solidFill>
          </w14:textFill>
        </w:rPr>
        <w:t>信阳农林</w:t>
      </w:r>
      <w:r>
        <w:rPr>
          <w:rFonts w:hint="eastAsia" w:ascii="方正小标宋简体" w:hAnsi="方正小标宋简体" w:eastAsia="方正小标宋简体" w:cs="方正小标宋简体"/>
          <w:b/>
          <w:bCs/>
          <w:color w:val="000000" w:themeColor="text1"/>
          <w:sz w:val="48"/>
          <w:szCs w:val="48"/>
          <w:u w:val="none"/>
          <w14:textFill>
            <w14:solidFill>
              <w14:schemeClr w14:val="tx1"/>
            </w14:solidFill>
          </w14:textFill>
        </w:rPr>
        <w:t>学院</w:t>
      </w:r>
      <w:r>
        <w:rPr>
          <w:rFonts w:hint="eastAsia" w:ascii="方正小标宋简体" w:hAnsi="方正小标宋简体" w:eastAsia="方正小标宋简体" w:cs="方正小标宋简体"/>
          <w:b/>
          <w:bCs/>
          <w:color w:val="000000" w:themeColor="text1"/>
          <w:sz w:val="48"/>
          <w:szCs w:val="48"/>
          <w:u w:val="none"/>
          <w:lang w:eastAsia="zh-CN"/>
          <w14:textFill>
            <w14:solidFill>
              <w14:schemeClr w14:val="tx1"/>
            </w14:solidFill>
          </w14:textFill>
        </w:rPr>
        <w:t>“十四五”事业</w:t>
      </w:r>
      <w:r>
        <w:rPr>
          <w:rFonts w:hint="eastAsia" w:ascii="方正小标宋简体" w:hAnsi="方正小标宋简体" w:eastAsia="方正小标宋简体" w:cs="方正小标宋简体"/>
          <w:b/>
          <w:bCs/>
          <w:color w:val="000000" w:themeColor="text1"/>
          <w:sz w:val="48"/>
          <w:szCs w:val="48"/>
          <w:u w:val="none"/>
          <w14:textFill>
            <w14:solidFill>
              <w14:schemeClr w14:val="tx1"/>
            </w14:solidFill>
          </w14:textFill>
        </w:rPr>
        <w:t>发展规划</w:t>
      </w:r>
    </w:p>
    <w:p>
      <w:pPr>
        <w:keepNext w:val="0"/>
        <w:keepLines w:val="0"/>
        <w:pageBreakBefore w:val="0"/>
        <w:widowControl w:val="0"/>
        <w:kinsoku/>
        <w:wordWrap/>
        <w:overflowPunct/>
        <w:topLinePunct w:val="0"/>
        <w:autoSpaceDE/>
        <w:autoSpaceDN/>
        <w:bidi w:val="0"/>
        <w:adjustRightInd/>
        <w:snapToGrid/>
        <w:spacing w:after="157" w:afterLines="50" w:line="540" w:lineRule="exact"/>
        <w:jc w:val="center"/>
        <w:textAlignment w:val="auto"/>
        <w:rPr>
          <w:rFonts w:ascii="仿宋" w:hAnsi="仿宋" w:eastAsia="仿宋" w:cs="仿宋"/>
          <w:color w:val="000000" w:themeColor="text1"/>
          <w:spacing w:val="7"/>
          <w:sz w:val="30"/>
          <w:szCs w:val="30"/>
          <w14:textFill>
            <w14:solidFill>
              <w14:schemeClr w14:val="tx1"/>
            </w14:solidFill>
          </w14:textFill>
        </w:rPr>
      </w:pPr>
      <w:r>
        <w:rPr>
          <w:rFonts w:hint="eastAsia" w:ascii="仿宋" w:hAnsi="仿宋" w:eastAsia="仿宋" w:cs="仿宋"/>
          <w:b/>
          <w:bCs w:val="0"/>
          <w:color w:val="000000" w:themeColor="text1"/>
          <w:sz w:val="36"/>
          <w:szCs w:val="36"/>
          <w:u w:val="none"/>
          <w:lang w:eastAsia="zh-CN"/>
          <w14:textFill>
            <w14:solidFill>
              <w14:schemeClr w14:val="tx1"/>
            </w14:solidFill>
          </w14:textFill>
        </w:rPr>
        <w:t>（征求意见稿）</w:t>
      </w:r>
    </w:p>
    <w:p>
      <w:pPr>
        <w:pStyle w:val="6"/>
        <w:keepNext w:val="0"/>
        <w:keepLines w:val="0"/>
        <w:pageBreakBefore w:val="0"/>
        <w:kinsoku/>
        <w:wordWrap/>
        <w:overflowPunct/>
        <w:topLinePunct w:val="0"/>
        <w:autoSpaceDE/>
        <w:autoSpaceDN/>
        <w:bidi w:val="0"/>
        <w:adjustRightInd/>
        <w:snapToGrid/>
        <w:spacing w:line="520" w:lineRule="exact"/>
        <w:ind w:firstLine="628" w:firstLineChars="200"/>
        <w:textAlignment w:val="auto"/>
        <w:rPr>
          <w:rFonts w:hint="eastAsia" w:ascii="仿宋" w:hAnsi="仿宋" w:eastAsia="仿宋" w:cs="仿宋"/>
          <w:color w:val="000000" w:themeColor="text1"/>
          <w:spacing w:val="7"/>
          <w:kern w:val="2"/>
          <w:sz w:val="30"/>
          <w:szCs w:val="30"/>
          <w:u w:val="none"/>
          <w:lang w:val="en-US" w:eastAsia="zh-CN" w:bidi="ar-SA"/>
          <w14:textFill>
            <w14:solidFill>
              <w14:schemeClr w14:val="tx1"/>
            </w14:solidFill>
          </w14:textFill>
        </w:rPr>
      </w:pPr>
      <w:r>
        <w:rPr>
          <w:rFonts w:hint="eastAsia" w:ascii="仿宋" w:hAnsi="仿宋" w:eastAsia="仿宋" w:cs="仿宋"/>
          <w:color w:val="000000" w:themeColor="text1"/>
          <w:spacing w:val="7"/>
          <w:kern w:val="2"/>
          <w:sz w:val="30"/>
          <w:szCs w:val="30"/>
          <w:u w:val="none"/>
          <w:lang w:val="en-US" w:eastAsia="zh-CN" w:bidi="ar-SA"/>
          <w14:textFill>
            <w14:solidFill>
              <w14:schemeClr w14:val="tx1"/>
            </w14:solidFill>
          </w14:textFill>
        </w:rPr>
        <w:t>“十四五”时期，是我省开启全面建设社会主义现代化河南新征程、谱写新时代中原更加出彩绚丽篇章的关键期，是推动教育高质量发展、加快由教育大省向强省的转型攻坚期。为贯彻落实全国、省教育大会精神，深入贯彻落实习近平总书记关于高等教育的重要论述和视察河南重要指示精神，</w:t>
      </w:r>
      <w:r>
        <w:rPr>
          <w:rFonts w:hint="eastAsia" w:ascii="仿宋" w:hAnsi="仿宋" w:eastAsia="仿宋" w:cs="仿宋"/>
          <w:color w:val="0000FF"/>
          <w:spacing w:val="7"/>
          <w:kern w:val="2"/>
          <w:sz w:val="30"/>
          <w:szCs w:val="30"/>
          <w:u w:val="none"/>
          <w:lang w:val="en-US" w:eastAsia="zh-CN" w:bidi="ar-SA"/>
        </w:rPr>
        <w:t>根据《河南教育现代化2035》的总体部署，以及《河南省教育事业发展“十四五”规划》和《信阳农林学院章程》等有关精神</w:t>
      </w:r>
      <w:r>
        <w:rPr>
          <w:rFonts w:hint="eastAsia" w:ascii="仿宋" w:hAnsi="仿宋" w:eastAsia="仿宋" w:cs="仿宋"/>
          <w:color w:val="000000" w:themeColor="text1"/>
          <w:spacing w:val="7"/>
          <w:kern w:val="2"/>
          <w:sz w:val="30"/>
          <w:szCs w:val="30"/>
          <w:u w:val="none"/>
          <w:lang w:val="en-US" w:eastAsia="zh-CN" w:bidi="ar-SA"/>
          <w14:textFill>
            <w14:solidFill>
              <w14:schemeClr w14:val="tx1"/>
            </w14:solidFill>
          </w14:textFill>
        </w:rPr>
        <w:t>，推动学校“十四五”时期高质量发展，建设</w:t>
      </w:r>
      <w:r>
        <w:rPr>
          <w:rFonts w:hint="eastAsia" w:ascii="仿宋" w:hAnsi="仿宋" w:eastAsia="仿宋" w:cs="仿宋"/>
          <w:color w:val="FF0000"/>
          <w:spacing w:val="7"/>
          <w:kern w:val="2"/>
          <w:sz w:val="30"/>
          <w:szCs w:val="30"/>
          <w:u w:val="none"/>
          <w:lang w:val="en-US" w:eastAsia="zh-CN" w:bidi="ar-SA"/>
        </w:rPr>
        <w:t>特色鲜明的农林类应用型本科高校，</w:t>
      </w:r>
      <w:r>
        <w:rPr>
          <w:rFonts w:hint="eastAsia" w:ascii="仿宋" w:hAnsi="仿宋" w:eastAsia="仿宋" w:cs="仿宋"/>
          <w:color w:val="000000" w:themeColor="text1"/>
          <w:spacing w:val="7"/>
          <w:kern w:val="2"/>
          <w:sz w:val="30"/>
          <w:szCs w:val="30"/>
          <w:u w:val="none"/>
          <w:lang w:val="en-US" w:eastAsia="zh-CN" w:bidi="ar-SA"/>
          <w14:textFill>
            <w14:solidFill>
              <w14:schemeClr w14:val="tx1"/>
            </w14:solidFill>
          </w14:textFill>
        </w:rPr>
        <w:t>制定本规划。</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630" w:firstLineChars="200"/>
        <w:jc w:val="both"/>
        <w:textAlignment w:val="auto"/>
        <w:outlineLvl w:val="0"/>
        <w:rPr>
          <w:rFonts w:hint="eastAsia" w:ascii="仿宋" w:hAnsi="仿宋" w:eastAsia="仿宋" w:cs="仿宋"/>
          <w:b/>
          <w:bCs/>
          <w:color w:val="000000" w:themeColor="text1"/>
          <w:spacing w:val="7"/>
          <w:kern w:val="2"/>
          <w:sz w:val="30"/>
          <w:szCs w:val="30"/>
          <w:u w:val="none"/>
          <w:lang w:val="en-US" w:eastAsia="zh-CN" w:bidi="ar-SA"/>
          <w14:textFill>
            <w14:solidFill>
              <w14:schemeClr w14:val="tx1"/>
            </w14:solidFill>
          </w14:textFill>
        </w:rPr>
      </w:pPr>
      <w:bookmarkStart w:id="0" w:name="_Toc10313"/>
      <w:r>
        <w:rPr>
          <w:rFonts w:hint="eastAsia" w:ascii="仿宋" w:hAnsi="仿宋" w:eastAsia="仿宋" w:cs="仿宋"/>
          <w:b/>
          <w:bCs/>
          <w:color w:val="000000" w:themeColor="text1"/>
          <w:spacing w:val="7"/>
          <w:kern w:val="2"/>
          <w:sz w:val="30"/>
          <w:szCs w:val="30"/>
          <w:u w:val="none"/>
          <w:lang w:val="en-US" w:eastAsia="zh-CN" w:bidi="ar-SA"/>
          <w14:textFill>
            <w14:solidFill>
              <w14:schemeClr w14:val="tx1"/>
            </w14:solidFill>
          </w14:textFill>
        </w:rPr>
        <w:t>一、“十三五”期间学校改革发展主要成就</w:t>
      </w:r>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628" w:firstLineChars="200"/>
        <w:jc w:val="both"/>
        <w:textAlignment w:val="auto"/>
        <w:rPr>
          <w:rFonts w:hint="eastAsia" w:ascii="仿宋" w:hAnsi="仿宋" w:eastAsia="仿宋" w:cs="仿宋"/>
          <w:color w:val="000000" w:themeColor="text1"/>
          <w:spacing w:val="7"/>
          <w:kern w:val="2"/>
          <w:sz w:val="30"/>
          <w:szCs w:val="30"/>
          <w:u w:val="none"/>
          <w:lang w:val="en-US" w:eastAsia="zh-CN" w:bidi="ar-SA"/>
          <w14:textFill>
            <w14:solidFill>
              <w14:schemeClr w14:val="tx1"/>
            </w14:solidFill>
          </w14:textFill>
        </w:rPr>
      </w:pPr>
      <w:r>
        <w:rPr>
          <w:rFonts w:hint="eastAsia" w:ascii="仿宋" w:hAnsi="仿宋" w:eastAsia="仿宋" w:cs="仿宋"/>
          <w:color w:val="000000" w:themeColor="text1"/>
          <w:spacing w:val="7"/>
          <w:kern w:val="2"/>
          <w:sz w:val="30"/>
          <w:szCs w:val="30"/>
          <w:u w:val="none"/>
          <w:lang w:val="en-US" w:eastAsia="zh-CN" w:bidi="ar-SA"/>
          <w14:textFill>
            <w14:solidFill>
              <w14:schemeClr w14:val="tx1"/>
            </w14:solidFill>
          </w14:textFill>
        </w:rPr>
        <w:t>近年来，学校党委、校行政充分发挥“十三五”规划的引领作用，认真贯彻落实第一次党代会精神，紧紧依靠全体师生员工，坚持目标导向与问题导向相结合，持续深化改革创新，在人才培养、科学研究、社会服务、文化传承创新、国际合作交流等方面取得了显著成绩。</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2" w:leftChars="0" w:firstLine="628" w:firstLineChars="0"/>
        <w:jc w:val="both"/>
        <w:textAlignment w:val="auto"/>
        <w:outlineLvl w:val="1"/>
        <w:rPr>
          <w:rFonts w:hint="eastAsia" w:ascii="仿宋" w:hAnsi="仿宋" w:eastAsia="仿宋" w:cs="仿宋"/>
          <w:b/>
          <w:bCs/>
          <w:color w:val="000000" w:themeColor="text1"/>
          <w:spacing w:val="7"/>
          <w:kern w:val="2"/>
          <w:sz w:val="30"/>
          <w:szCs w:val="30"/>
          <w:u w:val="none"/>
          <w:lang w:val="en-US" w:eastAsia="zh-CN" w:bidi="ar-SA"/>
          <w14:textFill>
            <w14:solidFill>
              <w14:schemeClr w14:val="tx1"/>
            </w14:solidFill>
          </w14:textFill>
        </w:rPr>
      </w:pPr>
      <w:bookmarkStart w:id="1" w:name="_Toc11759"/>
      <w:r>
        <w:rPr>
          <w:rFonts w:hint="eastAsia" w:ascii="仿宋" w:hAnsi="仿宋" w:eastAsia="仿宋" w:cs="仿宋"/>
          <w:b/>
          <w:bCs/>
          <w:color w:val="000000" w:themeColor="text1"/>
          <w:spacing w:val="7"/>
          <w:kern w:val="2"/>
          <w:sz w:val="30"/>
          <w:szCs w:val="30"/>
          <w:u w:val="none"/>
          <w:lang w:val="en-US" w:eastAsia="zh-CN" w:bidi="ar-SA"/>
          <w14:textFill>
            <w14:solidFill>
              <w14:schemeClr w14:val="tx1"/>
            </w14:solidFill>
          </w14:textFill>
        </w:rPr>
        <w:t>人才培养结构不断优化，</w:t>
      </w:r>
      <w:r>
        <w:rPr>
          <w:rFonts w:hint="eastAsia" w:ascii="仿宋" w:hAnsi="仿宋" w:eastAsia="仿宋" w:cs="仿宋"/>
          <w:b/>
          <w:bCs/>
          <w:color w:val="0000FF"/>
          <w:spacing w:val="7"/>
          <w:kern w:val="2"/>
          <w:sz w:val="30"/>
          <w:szCs w:val="30"/>
          <w:u w:val="none"/>
          <w:lang w:val="en-US" w:eastAsia="zh-CN" w:bidi="ar-SA"/>
        </w:rPr>
        <w:t>人才</w:t>
      </w:r>
      <w:r>
        <w:rPr>
          <w:rFonts w:hint="eastAsia" w:ascii="仿宋" w:hAnsi="仿宋" w:eastAsia="仿宋" w:cs="仿宋"/>
          <w:b/>
          <w:bCs/>
          <w:color w:val="000000" w:themeColor="text1"/>
          <w:spacing w:val="7"/>
          <w:kern w:val="2"/>
          <w:sz w:val="30"/>
          <w:szCs w:val="30"/>
          <w:u w:val="none"/>
          <w:lang w:val="en-US" w:eastAsia="zh-CN" w:bidi="ar-SA"/>
          <w14:textFill>
            <w14:solidFill>
              <w14:schemeClr w14:val="tx1"/>
            </w14:solidFill>
          </w14:textFill>
        </w:rPr>
        <w:t>培养质量持续提升</w:t>
      </w:r>
      <w:bookmarkEnd w:id="1"/>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28" w:firstLineChars="200"/>
        <w:jc w:val="both"/>
        <w:textAlignment w:val="auto"/>
        <w:outlineLvl w:val="1"/>
        <w:rPr>
          <w:rFonts w:hint="eastAsia" w:ascii="仿宋" w:hAnsi="仿宋" w:eastAsia="仿宋" w:cs="仿宋"/>
          <w:color w:val="000000" w:themeColor="text1"/>
          <w:spacing w:val="7"/>
          <w:kern w:val="2"/>
          <w:sz w:val="30"/>
          <w:szCs w:val="30"/>
          <w:u w:val="none"/>
          <w:lang w:val="en-US" w:eastAsia="zh-CN" w:bidi="ar-SA"/>
          <w14:textFill>
            <w14:solidFill>
              <w14:schemeClr w14:val="tx1"/>
            </w14:solidFill>
          </w14:textFill>
        </w:rPr>
      </w:pPr>
      <w:bookmarkStart w:id="2" w:name="_Toc32301"/>
      <w:bookmarkStart w:id="3" w:name="_Toc3864"/>
      <w:r>
        <w:rPr>
          <w:rFonts w:hint="eastAsia" w:ascii="仿宋" w:hAnsi="仿宋" w:eastAsia="仿宋" w:cs="仿宋"/>
          <w:color w:val="000000" w:themeColor="text1"/>
          <w:spacing w:val="7"/>
          <w:kern w:val="2"/>
          <w:sz w:val="30"/>
          <w:szCs w:val="30"/>
          <w:u w:val="none"/>
          <w:lang w:val="en-US" w:eastAsia="zh-CN" w:bidi="ar-SA"/>
          <w14:textFill>
            <w14:solidFill>
              <w14:schemeClr w14:val="tx1"/>
            </w14:solidFill>
          </w14:textFill>
        </w:rPr>
        <w:t>在校生规模</w:t>
      </w:r>
      <w:r>
        <w:rPr>
          <w:rFonts w:hint="eastAsia" w:ascii="仿宋" w:hAnsi="仿宋" w:eastAsia="仿宋" w:cs="仿宋"/>
          <w:color w:val="0000FF"/>
          <w:spacing w:val="7"/>
          <w:kern w:val="2"/>
          <w:sz w:val="30"/>
          <w:szCs w:val="30"/>
          <w:u w:val="none"/>
          <w:lang w:val="en-US" w:eastAsia="zh-CN" w:bidi="ar-SA"/>
        </w:rPr>
        <w:t>持续</w:t>
      </w:r>
      <w:r>
        <w:rPr>
          <w:rFonts w:hint="eastAsia" w:ascii="仿宋" w:hAnsi="仿宋" w:eastAsia="仿宋" w:cs="仿宋"/>
          <w:color w:val="000000" w:themeColor="text1"/>
          <w:spacing w:val="7"/>
          <w:kern w:val="2"/>
          <w:sz w:val="30"/>
          <w:szCs w:val="30"/>
          <w:u w:val="none"/>
          <w:lang w:val="en-US" w:eastAsia="zh-CN" w:bidi="ar-SA"/>
          <w14:textFill>
            <w14:solidFill>
              <w14:schemeClr w14:val="tx1"/>
            </w14:solidFill>
          </w14:textFill>
        </w:rPr>
        <w:t>增长，普通本科在校生规模增长较快，年均增长率为37.7%，专科生规模逐步缩小。截至2020年底，全日制在校生规模为17336人，普通本科生 14189人，专科生3147人。主动对接区域行业产业发展需求和新农科建设要求，</w:t>
      </w:r>
      <w:r>
        <w:rPr>
          <w:rFonts w:hint="eastAsia" w:ascii="仿宋" w:hAnsi="仿宋" w:eastAsia="仿宋" w:cs="仿宋"/>
          <w:color w:val="0000FF"/>
          <w:spacing w:val="7"/>
          <w:kern w:val="2"/>
          <w:sz w:val="30"/>
          <w:szCs w:val="30"/>
          <w:u w:val="none"/>
          <w:lang w:val="en-US" w:eastAsia="zh-CN" w:bidi="ar-SA"/>
        </w:rPr>
        <w:t>教育理念不断更</w:t>
      </w:r>
      <w:r>
        <w:rPr>
          <w:rFonts w:hint="eastAsia" w:ascii="仿宋" w:hAnsi="仿宋" w:eastAsia="仿宋" w:cs="仿宋"/>
          <w:color w:val="000000" w:themeColor="text1"/>
          <w:spacing w:val="7"/>
          <w:kern w:val="2"/>
          <w:sz w:val="30"/>
          <w:szCs w:val="30"/>
          <w:u w:val="none"/>
          <w:lang w:val="en-US" w:eastAsia="zh-CN" w:bidi="ar-SA"/>
          <w14:textFill>
            <w14:solidFill>
              <w14:schemeClr w14:val="tx1"/>
            </w14:solidFill>
          </w14:textFill>
        </w:rPr>
        <w:t>新，人才培养方案不断完善，</w:t>
      </w:r>
      <w:r>
        <w:rPr>
          <w:rFonts w:hint="eastAsia" w:ascii="仿宋" w:hAnsi="仿宋" w:eastAsia="仿宋" w:cs="仿宋"/>
          <w:color w:val="0000FF"/>
          <w:spacing w:val="7"/>
          <w:kern w:val="2"/>
          <w:sz w:val="30"/>
          <w:szCs w:val="30"/>
          <w:u w:val="none"/>
          <w:lang w:val="en-US" w:eastAsia="zh-CN" w:bidi="ar-SA"/>
        </w:rPr>
        <w:t>产学</w:t>
      </w:r>
      <w:r>
        <w:rPr>
          <w:rFonts w:hint="eastAsia" w:ascii="仿宋" w:hAnsi="仿宋" w:eastAsia="仿宋" w:cs="仿宋"/>
          <w:color w:val="000000" w:themeColor="text1"/>
          <w:spacing w:val="7"/>
          <w:kern w:val="2"/>
          <w:sz w:val="30"/>
          <w:szCs w:val="30"/>
          <w:u w:val="none"/>
          <w:lang w:val="en-US" w:eastAsia="zh-CN" w:bidi="ar-SA"/>
          <w14:textFill>
            <w14:solidFill>
              <w14:schemeClr w14:val="tx1"/>
            </w14:solidFill>
          </w14:textFill>
        </w:rPr>
        <w:t>研合作持续深化，协同育人深入推进，为社会输送各类人才13000余人，毕业生年终就业率保持在93%以上。</w:t>
      </w:r>
      <w:bookmarkEnd w:id="2"/>
      <w:bookmarkEnd w:id="3"/>
    </w:p>
    <w:p>
      <w:pPr>
        <w:keepNext w:val="0"/>
        <w:keepLines w:val="0"/>
        <w:pageBreakBefore w:val="0"/>
        <w:numPr>
          <w:ilvl w:val="0"/>
          <w:numId w:val="1"/>
        </w:numPr>
        <w:kinsoku/>
        <w:wordWrap/>
        <w:overflowPunct/>
        <w:topLinePunct w:val="0"/>
        <w:autoSpaceDE/>
        <w:autoSpaceDN/>
        <w:bidi w:val="0"/>
        <w:adjustRightInd/>
        <w:snapToGrid/>
        <w:spacing w:line="520" w:lineRule="exact"/>
        <w:ind w:left="2" w:leftChars="0" w:firstLine="628" w:firstLineChars="0"/>
        <w:textAlignment w:val="auto"/>
        <w:outlineLvl w:val="1"/>
        <w:rPr>
          <w:rFonts w:hint="eastAsia" w:ascii="仿宋" w:hAnsi="仿宋" w:eastAsia="仿宋" w:cs="仿宋"/>
          <w:b/>
          <w:bCs/>
          <w:color w:val="0000FF"/>
          <w:spacing w:val="7"/>
          <w:kern w:val="2"/>
          <w:sz w:val="30"/>
          <w:szCs w:val="30"/>
          <w:u w:val="none"/>
          <w:lang w:val="en-US" w:eastAsia="zh-CN" w:bidi="ar-SA"/>
        </w:rPr>
      </w:pPr>
      <w:bookmarkStart w:id="4" w:name="_Toc18045"/>
      <w:r>
        <w:rPr>
          <w:rFonts w:hint="eastAsia" w:ascii="仿宋" w:hAnsi="仿宋" w:eastAsia="仿宋" w:cs="仿宋"/>
          <w:b/>
          <w:bCs/>
          <w:color w:val="0000FF"/>
          <w:spacing w:val="7"/>
          <w:kern w:val="2"/>
          <w:sz w:val="30"/>
          <w:szCs w:val="30"/>
          <w:u w:val="none"/>
          <w:lang w:val="en-US" w:eastAsia="zh-CN" w:bidi="ar-SA"/>
        </w:rPr>
        <w:t>学科专业体系持续完善</w:t>
      </w:r>
      <w:r>
        <w:rPr>
          <w:rFonts w:hint="eastAsia" w:ascii="仿宋" w:hAnsi="仿宋" w:eastAsia="仿宋" w:cs="仿宋"/>
          <w:b/>
          <w:bCs/>
          <w:color w:val="000000" w:themeColor="text1"/>
          <w:spacing w:val="7"/>
          <w:kern w:val="2"/>
          <w:sz w:val="30"/>
          <w:szCs w:val="30"/>
          <w:u w:val="none"/>
          <w:lang w:val="en-US" w:eastAsia="zh-CN" w:bidi="ar-SA"/>
          <w14:textFill>
            <w14:solidFill>
              <w14:schemeClr w14:val="tx1"/>
            </w14:solidFill>
          </w14:textFill>
        </w:rPr>
        <w:t>，</w:t>
      </w:r>
      <w:r>
        <w:rPr>
          <w:rFonts w:hint="eastAsia" w:ascii="仿宋" w:hAnsi="仿宋" w:eastAsia="仿宋" w:cs="仿宋"/>
          <w:b/>
          <w:bCs/>
          <w:color w:val="0000FF"/>
          <w:spacing w:val="7"/>
          <w:kern w:val="2"/>
          <w:sz w:val="30"/>
          <w:szCs w:val="30"/>
          <w:u w:val="none"/>
          <w:lang w:val="en-US" w:eastAsia="zh-CN" w:bidi="ar-SA"/>
        </w:rPr>
        <w:t>教育教学改革走向深入</w:t>
      </w:r>
      <w:bookmarkEnd w:id="4"/>
    </w:p>
    <w:p>
      <w:pPr>
        <w:keepNext w:val="0"/>
        <w:keepLines w:val="0"/>
        <w:pageBreakBefore w:val="0"/>
        <w:numPr>
          <w:ilvl w:val="0"/>
          <w:numId w:val="0"/>
        </w:numPr>
        <w:kinsoku/>
        <w:wordWrap/>
        <w:overflowPunct/>
        <w:topLinePunct w:val="0"/>
        <w:autoSpaceDE/>
        <w:autoSpaceDN/>
        <w:bidi w:val="0"/>
        <w:adjustRightInd/>
        <w:snapToGrid/>
        <w:spacing w:line="520" w:lineRule="exact"/>
        <w:ind w:firstLine="600" w:firstLineChars="200"/>
        <w:textAlignment w:val="auto"/>
        <w:outlineLvl w:val="2"/>
        <w:rPr>
          <w:rFonts w:hint="eastAsia" w:ascii="仿宋" w:hAnsi="仿宋" w:eastAsia="仿宋" w:cs="仿宋"/>
          <w:color w:val="000000" w:themeColor="text1"/>
          <w:spacing w:val="7"/>
          <w:kern w:val="2"/>
          <w:sz w:val="30"/>
          <w:szCs w:val="30"/>
          <w:u w:val="none"/>
          <w:lang w:val="en-US" w:eastAsia="zh-CN" w:bidi="ar-SA"/>
          <w14:textFill>
            <w14:solidFill>
              <w14:schemeClr w14:val="tx1"/>
            </w14:solidFill>
          </w14:textFill>
        </w:rPr>
      </w:pPr>
      <w:bookmarkStart w:id="5" w:name="_Toc15389"/>
      <w:r>
        <w:rPr>
          <w:rFonts w:hint="eastAsia" w:ascii="华文仿宋" w:hAnsi="华文仿宋" w:eastAsia="华文仿宋" w:cs="华文仿宋"/>
          <w:color w:val="0000FF"/>
          <w:sz w:val="30"/>
          <w:szCs w:val="30"/>
        </w:rPr>
        <w:t>坚持</w:t>
      </w:r>
      <w:r>
        <w:rPr>
          <w:rFonts w:hint="eastAsia" w:ascii="华文仿宋" w:hAnsi="华文仿宋" w:eastAsia="华文仿宋" w:cs="华文仿宋"/>
          <w:color w:val="0000FF"/>
          <w:sz w:val="30"/>
          <w:szCs w:val="30"/>
          <w:lang w:eastAsia="zh-CN"/>
        </w:rPr>
        <w:t>教学工作的中心地位</w:t>
      </w:r>
      <w:r>
        <w:rPr>
          <w:rFonts w:hint="eastAsia" w:ascii="华文仿宋" w:hAnsi="华文仿宋" w:eastAsia="华文仿宋" w:cs="华文仿宋"/>
          <w:color w:val="0000FF"/>
          <w:sz w:val="30"/>
          <w:szCs w:val="30"/>
        </w:rPr>
        <w:t>，大力实施“专业与课程质量建设工程”，“教学质量提升工程”，构建校企互动的专业建设机制，体现学校办学特色的应用型学科专业体系</w:t>
      </w:r>
      <w:r>
        <w:rPr>
          <w:rFonts w:hint="eastAsia" w:ascii="华文仿宋" w:hAnsi="华文仿宋" w:eastAsia="华文仿宋" w:cs="华文仿宋"/>
          <w:color w:val="0000FF"/>
          <w:sz w:val="30"/>
          <w:szCs w:val="30"/>
          <w:lang w:eastAsia="zh-CN"/>
        </w:rPr>
        <w:t>日趋</w:t>
      </w:r>
      <w:r>
        <w:rPr>
          <w:rFonts w:hint="eastAsia" w:ascii="华文仿宋" w:hAnsi="华文仿宋" w:eastAsia="华文仿宋" w:cs="华文仿宋"/>
          <w:color w:val="0000FF"/>
          <w:sz w:val="30"/>
          <w:szCs w:val="30"/>
        </w:rPr>
        <w:t>完善，校企合作产教融合力度不断提升，人才培养与社会需求和办学定位的吻合度不断提高，农林特色更加鲜明。“十三五”期间，学校新增种子科学与工程、园林、城乡规划</w:t>
      </w:r>
      <w:r>
        <w:rPr>
          <w:rFonts w:hint="eastAsia" w:ascii="华文仿宋" w:hAnsi="华文仿宋" w:eastAsia="华文仿宋" w:cs="华文仿宋"/>
          <w:sz w:val="30"/>
          <w:szCs w:val="30"/>
        </w:rPr>
        <w:t>等</w:t>
      </w:r>
      <w:r>
        <w:rPr>
          <w:rFonts w:ascii="华文仿宋" w:hAnsi="华文仿宋" w:eastAsia="华文仿宋" w:cs="华文仿宋"/>
          <w:sz w:val="30"/>
          <w:szCs w:val="30"/>
        </w:rPr>
        <w:t>24</w:t>
      </w:r>
      <w:r>
        <w:rPr>
          <w:rFonts w:hint="eastAsia" w:ascii="华文仿宋" w:hAnsi="华文仿宋" w:eastAsia="华文仿宋" w:cs="华文仿宋"/>
          <w:sz w:val="30"/>
          <w:szCs w:val="30"/>
        </w:rPr>
        <w:t>个本科专业，本科专业达到</w:t>
      </w:r>
      <w:r>
        <w:rPr>
          <w:rFonts w:ascii="华文仿宋" w:hAnsi="华文仿宋" w:eastAsia="华文仿宋" w:cs="华文仿宋"/>
          <w:sz w:val="30"/>
          <w:szCs w:val="30"/>
        </w:rPr>
        <w:t>37</w:t>
      </w:r>
      <w:r>
        <w:rPr>
          <w:rFonts w:hint="eastAsia" w:ascii="华文仿宋" w:hAnsi="华文仿宋" w:eastAsia="华文仿宋" w:cs="华文仿宋"/>
          <w:sz w:val="30"/>
          <w:szCs w:val="30"/>
        </w:rPr>
        <w:t>个。其中农学、工学专业各有</w:t>
      </w:r>
      <w:r>
        <w:rPr>
          <w:rFonts w:ascii="华文仿宋" w:hAnsi="华文仿宋" w:eastAsia="华文仿宋" w:cs="华文仿宋"/>
          <w:sz w:val="30"/>
          <w:szCs w:val="30"/>
        </w:rPr>
        <w:t>11</w:t>
      </w:r>
      <w:r>
        <w:rPr>
          <w:rFonts w:hint="eastAsia" w:ascii="华文仿宋" w:hAnsi="华文仿宋" w:eastAsia="华文仿宋" w:cs="华文仿宋"/>
          <w:sz w:val="30"/>
          <w:szCs w:val="30"/>
        </w:rPr>
        <w:t>个，管理学专业</w:t>
      </w:r>
      <w:r>
        <w:rPr>
          <w:rFonts w:ascii="华文仿宋" w:hAnsi="华文仿宋" w:eastAsia="华文仿宋" w:cs="华文仿宋"/>
          <w:sz w:val="30"/>
          <w:szCs w:val="30"/>
        </w:rPr>
        <w:t>9</w:t>
      </w:r>
      <w:r>
        <w:rPr>
          <w:rFonts w:hint="eastAsia" w:ascii="华文仿宋" w:hAnsi="华文仿宋" w:eastAsia="华文仿宋" w:cs="华文仿宋"/>
          <w:sz w:val="30"/>
          <w:szCs w:val="30"/>
        </w:rPr>
        <w:t>个，艺术学、文学</w:t>
      </w:r>
      <w:r>
        <w:rPr>
          <w:rFonts w:ascii="华文仿宋" w:hAnsi="华文仿宋" w:eastAsia="华文仿宋" w:cs="华文仿宋"/>
          <w:sz w:val="30"/>
          <w:szCs w:val="30"/>
        </w:rPr>
        <w:t xml:space="preserve"> </w:t>
      </w:r>
      <w:r>
        <w:rPr>
          <w:rFonts w:hint="eastAsia" w:ascii="华文仿宋" w:hAnsi="华文仿宋" w:eastAsia="华文仿宋" w:cs="华文仿宋"/>
          <w:sz w:val="30"/>
          <w:szCs w:val="30"/>
        </w:rPr>
        <w:t>、理学专业各</w:t>
      </w:r>
      <w:r>
        <w:rPr>
          <w:rFonts w:ascii="华文仿宋" w:hAnsi="华文仿宋" w:eastAsia="华文仿宋" w:cs="华文仿宋"/>
          <w:sz w:val="30"/>
          <w:szCs w:val="30"/>
        </w:rPr>
        <w:t>2</w:t>
      </w:r>
      <w:r>
        <w:rPr>
          <w:rFonts w:hint="eastAsia" w:ascii="华文仿宋" w:hAnsi="华文仿宋" w:eastAsia="华文仿宋" w:cs="华文仿宋"/>
          <w:sz w:val="30"/>
          <w:szCs w:val="30"/>
        </w:rPr>
        <w:t>个。有省级重点培育学科</w:t>
      </w:r>
      <w:r>
        <w:rPr>
          <w:rFonts w:ascii="华文仿宋" w:hAnsi="华文仿宋" w:eastAsia="华文仿宋" w:cs="华文仿宋"/>
          <w:sz w:val="30"/>
          <w:szCs w:val="30"/>
        </w:rPr>
        <w:t>1</w:t>
      </w:r>
      <w:r>
        <w:rPr>
          <w:rFonts w:hint="eastAsia" w:ascii="华文仿宋" w:hAnsi="华文仿宋" w:eastAsia="华文仿宋" w:cs="华文仿宋"/>
          <w:sz w:val="30"/>
          <w:szCs w:val="30"/>
        </w:rPr>
        <w:t>项，省级以上特色优势专业</w:t>
      </w:r>
      <w:r>
        <w:rPr>
          <w:rFonts w:ascii="华文仿宋" w:hAnsi="华文仿宋" w:eastAsia="华文仿宋" w:cs="华文仿宋"/>
          <w:sz w:val="30"/>
          <w:szCs w:val="30"/>
        </w:rPr>
        <w:t>15</w:t>
      </w:r>
      <w:r>
        <w:rPr>
          <w:rFonts w:hint="eastAsia" w:ascii="华文仿宋" w:hAnsi="华文仿宋" w:eastAsia="华文仿宋" w:cs="华文仿宋"/>
          <w:sz w:val="30"/>
          <w:szCs w:val="30"/>
        </w:rPr>
        <w:t>个，省级专业综合改革试点项目</w:t>
      </w:r>
      <w:r>
        <w:rPr>
          <w:rFonts w:ascii="华文仿宋" w:hAnsi="华文仿宋" w:eastAsia="华文仿宋" w:cs="华文仿宋"/>
          <w:sz w:val="30"/>
          <w:szCs w:val="30"/>
        </w:rPr>
        <w:t>3</w:t>
      </w:r>
      <w:r>
        <w:rPr>
          <w:rFonts w:hint="eastAsia" w:ascii="华文仿宋" w:hAnsi="华文仿宋" w:eastAsia="华文仿宋" w:cs="华文仿宋"/>
          <w:sz w:val="30"/>
          <w:szCs w:val="30"/>
        </w:rPr>
        <w:t>个（茶学、植物保护、林学）。课程与教学改革深入推进、效果明显，</w:t>
      </w:r>
      <w:r>
        <w:rPr>
          <w:rFonts w:hint="eastAsia" w:ascii="华文仿宋" w:hAnsi="华文仿宋" w:eastAsia="华文仿宋" w:cs="华文仿宋"/>
          <w:sz w:val="30"/>
          <w:szCs w:val="30"/>
          <w:lang w:eastAsia="zh-CN"/>
        </w:rPr>
        <w:t>建</w:t>
      </w:r>
      <w:r>
        <w:rPr>
          <w:rFonts w:hint="eastAsia" w:ascii="华文仿宋" w:hAnsi="华文仿宋" w:eastAsia="华文仿宋" w:cs="华文仿宋"/>
          <w:sz w:val="30"/>
          <w:szCs w:val="30"/>
        </w:rPr>
        <w:t>有河南省精品课程</w:t>
      </w:r>
      <w:r>
        <w:rPr>
          <w:rFonts w:ascii="华文仿宋" w:hAnsi="华文仿宋" w:eastAsia="华文仿宋" w:cs="华文仿宋"/>
          <w:sz w:val="30"/>
          <w:szCs w:val="30"/>
        </w:rPr>
        <w:t>7</w:t>
      </w:r>
      <w:r>
        <w:rPr>
          <w:rFonts w:hint="eastAsia" w:ascii="华文仿宋" w:hAnsi="华文仿宋" w:eastAsia="华文仿宋" w:cs="华文仿宋"/>
          <w:sz w:val="30"/>
          <w:szCs w:val="30"/>
        </w:rPr>
        <w:t>门、精品资源课程</w:t>
      </w:r>
      <w:r>
        <w:rPr>
          <w:rFonts w:ascii="华文仿宋" w:hAnsi="华文仿宋" w:eastAsia="华文仿宋" w:cs="华文仿宋"/>
          <w:sz w:val="30"/>
          <w:szCs w:val="30"/>
        </w:rPr>
        <w:t>2</w:t>
      </w:r>
      <w:r>
        <w:rPr>
          <w:rFonts w:hint="eastAsia" w:ascii="华文仿宋" w:hAnsi="华文仿宋" w:eastAsia="华文仿宋" w:cs="华文仿宋"/>
          <w:sz w:val="30"/>
          <w:szCs w:val="30"/>
        </w:rPr>
        <w:t>门、精品在线开放课程</w:t>
      </w:r>
      <w:r>
        <w:rPr>
          <w:rFonts w:ascii="华文仿宋" w:hAnsi="华文仿宋" w:eastAsia="华文仿宋" w:cs="华文仿宋"/>
          <w:sz w:val="30"/>
          <w:szCs w:val="30"/>
        </w:rPr>
        <w:t>4</w:t>
      </w:r>
      <w:r>
        <w:rPr>
          <w:rFonts w:hint="eastAsia" w:ascii="华文仿宋" w:hAnsi="华文仿宋" w:eastAsia="华文仿宋" w:cs="华文仿宋"/>
          <w:sz w:val="30"/>
          <w:szCs w:val="30"/>
        </w:rPr>
        <w:t>门，省级虚拟仿真实验教学建设项目</w:t>
      </w:r>
      <w:r>
        <w:rPr>
          <w:rFonts w:ascii="华文仿宋" w:hAnsi="华文仿宋" w:eastAsia="华文仿宋" w:cs="华文仿宋"/>
          <w:sz w:val="30"/>
          <w:szCs w:val="30"/>
        </w:rPr>
        <w:t>1</w:t>
      </w:r>
      <w:r>
        <w:rPr>
          <w:rFonts w:hint="eastAsia" w:ascii="华文仿宋" w:hAnsi="华文仿宋" w:eastAsia="华文仿宋" w:cs="华文仿宋"/>
          <w:sz w:val="30"/>
          <w:szCs w:val="30"/>
        </w:rPr>
        <w:t>个。省级一流本科专业建设点</w:t>
      </w:r>
      <w:r>
        <w:rPr>
          <w:rFonts w:ascii="华文仿宋" w:hAnsi="华文仿宋" w:eastAsia="华文仿宋" w:cs="华文仿宋"/>
          <w:sz w:val="30"/>
          <w:szCs w:val="30"/>
        </w:rPr>
        <w:t>4</w:t>
      </w:r>
      <w:r>
        <w:rPr>
          <w:rFonts w:hint="eastAsia" w:ascii="华文仿宋" w:hAnsi="华文仿宋" w:eastAsia="华文仿宋" w:cs="华文仿宋"/>
          <w:sz w:val="30"/>
          <w:szCs w:val="30"/>
        </w:rPr>
        <w:t>个、一流本科课程</w:t>
      </w:r>
      <w:r>
        <w:rPr>
          <w:rFonts w:ascii="华文仿宋" w:hAnsi="华文仿宋" w:eastAsia="华文仿宋" w:cs="华文仿宋"/>
          <w:sz w:val="30"/>
          <w:szCs w:val="30"/>
        </w:rPr>
        <w:t>4</w:t>
      </w:r>
      <w:r>
        <w:rPr>
          <w:rFonts w:hint="eastAsia" w:ascii="华文仿宋" w:hAnsi="华文仿宋" w:eastAsia="华文仿宋" w:cs="华文仿宋"/>
          <w:sz w:val="30"/>
          <w:szCs w:val="30"/>
        </w:rPr>
        <w:t>门。近五年来获省级新农科、新工科建设项目</w:t>
      </w:r>
      <w:r>
        <w:rPr>
          <w:rFonts w:ascii="华文仿宋" w:hAnsi="华文仿宋" w:eastAsia="华文仿宋" w:cs="华文仿宋"/>
          <w:sz w:val="30"/>
          <w:szCs w:val="30"/>
        </w:rPr>
        <w:t>4</w:t>
      </w:r>
      <w:r>
        <w:rPr>
          <w:rFonts w:hint="eastAsia" w:ascii="华文仿宋" w:hAnsi="华文仿宋" w:eastAsia="华文仿宋" w:cs="华文仿宋"/>
          <w:sz w:val="30"/>
          <w:szCs w:val="30"/>
        </w:rPr>
        <w:t>项，省级教学成果</w:t>
      </w:r>
      <w:r>
        <w:rPr>
          <w:rFonts w:ascii="华文仿宋" w:hAnsi="华文仿宋" w:eastAsia="华文仿宋" w:cs="华文仿宋"/>
          <w:sz w:val="30"/>
          <w:szCs w:val="30"/>
        </w:rPr>
        <w:t>6</w:t>
      </w:r>
      <w:r>
        <w:rPr>
          <w:rFonts w:hint="eastAsia" w:ascii="华文仿宋" w:hAnsi="华文仿宋" w:eastAsia="华文仿宋" w:cs="华文仿宋"/>
          <w:sz w:val="30"/>
          <w:szCs w:val="30"/>
        </w:rPr>
        <w:t>项。</w:t>
      </w:r>
      <w:bookmarkEnd w:id="5"/>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2" w:leftChars="0" w:firstLine="628" w:firstLineChars="0"/>
        <w:jc w:val="both"/>
        <w:textAlignment w:val="auto"/>
        <w:outlineLvl w:val="1"/>
        <w:rPr>
          <w:rFonts w:hint="eastAsia" w:ascii="仿宋" w:hAnsi="仿宋" w:eastAsia="仿宋" w:cs="仿宋"/>
          <w:b/>
          <w:bCs/>
          <w:color w:val="000000" w:themeColor="text1"/>
          <w:spacing w:val="7"/>
          <w:kern w:val="2"/>
          <w:sz w:val="30"/>
          <w:szCs w:val="30"/>
          <w:u w:val="none"/>
          <w:lang w:val="en-US" w:eastAsia="zh-CN" w:bidi="ar-SA"/>
          <w14:textFill>
            <w14:solidFill>
              <w14:schemeClr w14:val="tx1"/>
            </w14:solidFill>
          </w14:textFill>
        </w:rPr>
      </w:pPr>
      <w:bookmarkStart w:id="6" w:name="_Toc17024"/>
      <w:r>
        <w:rPr>
          <w:rFonts w:hint="eastAsia" w:ascii="仿宋" w:hAnsi="仿宋" w:eastAsia="仿宋" w:cs="仿宋"/>
          <w:b/>
          <w:bCs/>
          <w:color w:val="000000" w:themeColor="text1"/>
          <w:spacing w:val="7"/>
          <w:kern w:val="2"/>
          <w:sz w:val="30"/>
          <w:szCs w:val="30"/>
          <w:u w:val="none"/>
          <w:lang w:val="en-US" w:eastAsia="zh-CN" w:bidi="ar-SA"/>
          <w14:textFill>
            <w14:solidFill>
              <w14:schemeClr w14:val="tx1"/>
            </w14:solidFill>
          </w14:textFill>
        </w:rPr>
        <w:t>坚持引进培育并举，师资队伍建设富有成效</w:t>
      </w:r>
      <w:bookmarkEnd w:id="6"/>
    </w:p>
    <w:p>
      <w:pPr>
        <w:keepNext w:val="0"/>
        <w:keepLines w:val="0"/>
        <w:pageBreakBefore w:val="0"/>
        <w:kinsoku/>
        <w:wordWrap/>
        <w:overflowPunct/>
        <w:topLinePunct w:val="0"/>
        <w:autoSpaceDE/>
        <w:autoSpaceDN/>
        <w:bidi w:val="0"/>
        <w:adjustRightInd/>
        <w:snapToGrid/>
        <w:spacing w:line="520" w:lineRule="exact"/>
        <w:ind w:firstLine="628" w:firstLineChars="200"/>
        <w:textAlignment w:val="auto"/>
        <w:outlineLvl w:val="2"/>
        <w:rPr>
          <w:rFonts w:hint="eastAsia" w:ascii="华文仿宋" w:hAnsi="华文仿宋" w:eastAsia="华文仿宋"/>
          <w:sz w:val="28"/>
          <w:szCs w:val="28"/>
        </w:rPr>
      </w:pPr>
      <w:bookmarkStart w:id="7" w:name="_Toc2430"/>
      <w:r>
        <w:rPr>
          <w:rFonts w:hint="eastAsia" w:ascii="仿宋" w:hAnsi="仿宋" w:eastAsia="仿宋" w:cs="仿宋"/>
          <w:color w:val="000000" w:themeColor="text1"/>
          <w:spacing w:val="7"/>
          <w:kern w:val="2"/>
          <w:sz w:val="30"/>
          <w:szCs w:val="30"/>
          <w:u w:val="none"/>
          <w:lang w:val="en-US" w:eastAsia="zh-CN" w:bidi="ar-SA"/>
          <w14:textFill>
            <w14:solidFill>
              <w14:schemeClr w14:val="tx1"/>
            </w14:solidFill>
          </w14:textFill>
        </w:rPr>
        <w:t>实施人才强校战略，基本建成了一支服务能力与学术水平持续提升、师德高尚、学识扎实、潜心治教、热爱三农、规模结构相对合理的师资队伍。学校现有教职工1001人，其中专任教师733人，占教职工总数的73.23%，外聘教师189人。具有博士、硕士学位教师651人，占专任教师的88.8%；高级职称教师201人，占专任教师的27.4%；“双师双能”教师169人，占专任教师的23.6%。有全国十佳双创典型导师、全国技术能手、国家教学名师、教育部高等学校教学指导委员会委员等5人，河南省教学名师、模范教师、优秀教师等5人，省管专家、学术技术带头人、骨干教师等高层次人才近50人，赴国（境）外学习、交流和培训人数逐年增加。</w:t>
      </w:r>
      <w:bookmarkEnd w:id="7"/>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2" w:leftChars="0" w:firstLine="628" w:firstLineChars="0"/>
        <w:jc w:val="both"/>
        <w:textAlignment w:val="auto"/>
        <w:outlineLvl w:val="1"/>
        <w:rPr>
          <w:rFonts w:hint="eastAsia" w:ascii="仿宋" w:hAnsi="仿宋" w:eastAsia="仿宋" w:cs="仿宋"/>
          <w:b/>
          <w:bCs/>
          <w:color w:val="000000" w:themeColor="text1"/>
          <w:spacing w:val="7"/>
          <w:kern w:val="2"/>
          <w:sz w:val="30"/>
          <w:szCs w:val="30"/>
          <w:u w:val="none"/>
          <w:lang w:val="en-US" w:eastAsia="zh-CN" w:bidi="ar-SA"/>
          <w14:textFill>
            <w14:solidFill>
              <w14:schemeClr w14:val="tx1"/>
            </w14:solidFill>
          </w14:textFill>
        </w:rPr>
      </w:pPr>
      <w:bookmarkStart w:id="8" w:name="_Toc13890"/>
      <w:r>
        <w:rPr>
          <w:rFonts w:hint="eastAsia" w:ascii="仿宋" w:hAnsi="仿宋" w:eastAsia="仿宋" w:cs="仿宋"/>
          <w:b/>
          <w:bCs/>
          <w:color w:val="000000" w:themeColor="text1"/>
          <w:spacing w:val="7"/>
          <w:kern w:val="2"/>
          <w:sz w:val="30"/>
          <w:szCs w:val="30"/>
          <w:u w:val="none"/>
          <w:lang w:val="en-US" w:eastAsia="zh-CN" w:bidi="ar-SA"/>
          <w14:textFill>
            <w14:solidFill>
              <w14:schemeClr w14:val="tx1"/>
            </w14:solidFill>
          </w14:textFill>
        </w:rPr>
        <w:t>科研水平不断提高，社会服务能力持续增强</w:t>
      </w:r>
      <w:bookmarkEnd w:id="8"/>
    </w:p>
    <w:p>
      <w:pPr>
        <w:keepNext w:val="0"/>
        <w:keepLines w:val="0"/>
        <w:pageBreakBefore w:val="0"/>
        <w:kinsoku/>
        <w:wordWrap/>
        <w:overflowPunct/>
        <w:topLinePunct w:val="0"/>
        <w:autoSpaceDE/>
        <w:autoSpaceDN/>
        <w:bidi w:val="0"/>
        <w:adjustRightInd/>
        <w:snapToGrid/>
        <w:spacing w:line="520" w:lineRule="exact"/>
        <w:ind w:firstLine="628" w:firstLineChars="200"/>
        <w:textAlignment w:val="auto"/>
        <w:outlineLvl w:val="2"/>
        <w:rPr>
          <w:rFonts w:hint="eastAsia" w:ascii="仿宋" w:hAnsi="仿宋" w:eastAsia="仿宋" w:cs="仿宋"/>
          <w:color w:val="000000" w:themeColor="text1"/>
          <w:spacing w:val="7"/>
          <w:kern w:val="2"/>
          <w:sz w:val="30"/>
          <w:szCs w:val="30"/>
          <w:u w:val="none"/>
          <w:lang w:val="en-US" w:eastAsia="zh-CN" w:bidi="ar-SA"/>
          <w14:textFill>
            <w14:solidFill>
              <w14:schemeClr w14:val="tx1"/>
            </w14:solidFill>
          </w14:textFill>
        </w:rPr>
      </w:pPr>
      <w:bookmarkStart w:id="9" w:name="_Toc14895"/>
      <w:r>
        <w:rPr>
          <w:rFonts w:hint="eastAsia" w:ascii="仿宋" w:hAnsi="仿宋" w:eastAsia="仿宋" w:cs="仿宋"/>
          <w:color w:val="000000" w:themeColor="text1"/>
          <w:spacing w:val="7"/>
          <w:kern w:val="2"/>
          <w:sz w:val="30"/>
          <w:szCs w:val="30"/>
          <w:u w:val="none"/>
          <w:lang w:val="en-US" w:eastAsia="zh-CN" w:bidi="ar-SA"/>
          <w14:textFill>
            <w14:solidFill>
              <w14:schemeClr w14:val="tx1"/>
            </w14:solidFill>
          </w14:textFill>
        </w:rPr>
        <w:t>科技平台建设亮点突出，获批建立豫南植物有害生物绿色防控院士工作站，河南省豫南茶树资源综合开发重点实验室。牵头组建了茶产业、水库生态渔业、食药用真菌、油茶产业、河南省大别山中药材产业技术创新战略联盟等5个省级技术创新联盟，建有9个省级工程技术研究中心。“十三五”期间，累计承担各级各类科研项目共计331项，其中国家级科研项目3项，省部级科研项目共计108项；全校教师在中文核心及以上期刊发表论文765篇（SCI、EI、CSSCI收录论文167篇），出版学术著作、教材261部；累计获得各类知识产权861项，比“十二五”期间增加了700余项，其中发明专利63项，学校进入河南省高校知识产权综合能力提升专项行动十快高校名单；获批建立国家级培育示范基地1个、省级培训基地5个、省级培育机构1个、省级科普示范基地1个，省级产学研合作试点项目6个。近年来依托河南省博士服务团、科普及适用技术传播工程项目、省市科技特派员等载体，每年开展各类服务咨询活动1000多场次，扎实开展科普及适用技术传播工程，服务地方经济社会建设，促进了区域“三农”事业发展。</w:t>
      </w:r>
      <w:bookmarkEnd w:id="9"/>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2" w:leftChars="0" w:firstLine="628" w:firstLineChars="0"/>
        <w:jc w:val="both"/>
        <w:textAlignment w:val="auto"/>
        <w:outlineLvl w:val="1"/>
        <w:rPr>
          <w:rFonts w:hint="eastAsia" w:ascii="仿宋" w:hAnsi="仿宋" w:eastAsia="仿宋" w:cs="仿宋"/>
          <w:b/>
          <w:bCs/>
          <w:color w:val="000000" w:themeColor="text1"/>
          <w:spacing w:val="7"/>
          <w:kern w:val="2"/>
          <w:sz w:val="30"/>
          <w:szCs w:val="30"/>
          <w:u w:val="none"/>
          <w:lang w:val="en-US" w:eastAsia="zh-CN" w:bidi="ar-SA"/>
          <w14:textFill>
            <w14:solidFill>
              <w14:schemeClr w14:val="tx1"/>
            </w14:solidFill>
          </w14:textFill>
        </w:rPr>
      </w:pPr>
      <w:bookmarkStart w:id="10" w:name="_Toc8559"/>
      <w:r>
        <w:rPr>
          <w:rFonts w:hint="eastAsia" w:ascii="仿宋" w:hAnsi="仿宋" w:eastAsia="仿宋" w:cs="仿宋"/>
          <w:b/>
          <w:bCs/>
          <w:color w:val="000000" w:themeColor="text1"/>
          <w:spacing w:val="7"/>
          <w:kern w:val="2"/>
          <w:sz w:val="30"/>
          <w:szCs w:val="30"/>
          <w:u w:val="none"/>
          <w:lang w:val="en-US" w:eastAsia="zh-CN" w:bidi="ar-SA"/>
          <w14:textFill>
            <w14:solidFill>
              <w14:schemeClr w14:val="tx1"/>
            </w14:solidFill>
          </w14:textFill>
        </w:rPr>
        <w:t>对外合作稳步推进，国际交流合作日益广泛</w:t>
      </w:r>
      <w:bookmarkEnd w:id="10"/>
    </w:p>
    <w:p>
      <w:pPr>
        <w:keepNext w:val="0"/>
        <w:keepLines w:val="0"/>
        <w:pageBreakBefore w:val="0"/>
        <w:kinsoku/>
        <w:wordWrap/>
        <w:overflowPunct/>
        <w:topLinePunct w:val="0"/>
        <w:autoSpaceDE/>
        <w:autoSpaceDN/>
        <w:bidi w:val="0"/>
        <w:adjustRightInd/>
        <w:snapToGrid/>
        <w:spacing w:line="520" w:lineRule="exact"/>
        <w:ind w:firstLine="628" w:firstLineChars="200"/>
        <w:textAlignment w:val="auto"/>
        <w:outlineLvl w:val="2"/>
        <w:rPr>
          <w:rFonts w:hint="eastAsia" w:ascii="华文仿宋" w:hAnsi="华文仿宋" w:eastAsia="华文仿宋"/>
          <w:sz w:val="28"/>
          <w:szCs w:val="28"/>
        </w:rPr>
      </w:pPr>
      <w:bookmarkStart w:id="11" w:name="_Toc7565"/>
      <w:r>
        <w:rPr>
          <w:rFonts w:hint="eastAsia" w:ascii="仿宋" w:hAnsi="仿宋" w:eastAsia="仿宋" w:cs="仿宋"/>
          <w:color w:val="000000" w:themeColor="text1"/>
          <w:spacing w:val="7"/>
          <w:kern w:val="2"/>
          <w:sz w:val="30"/>
          <w:szCs w:val="30"/>
          <w:u w:val="none"/>
          <w:lang w:val="en-US" w:eastAsia="zh-CN" w:bidi="ar-SA"/>
          <w14:textFill>
            <w14:solidFill>
              <w14:schemeClr w14:val="tx1"/>
            </w14:solidFill>
          </w14:textFill>
        </w:rPr>
        <w:t>不断加强校地、校企合作。校地共建信阳马克思主义学院、信阳农民大学，校企共建信阳家居学院、物流学院、旅游规划设计研究院、大别山油茶学院、特邦产业学院、全丰航空产业学院、大别山文化研究院、新县乡村振兴学院等13个产业学院；依托产学研合作联盟平台，利用校地结对帮扶等措施，推进政产学研深入发展。积极融入“一带一路”开展国际交流与合作，与澳大利亚、新西兰、马来西亚、泰国等多所高校建立了密切合作关系，搭建师生对外交流平台。近几年先后派出教学科研团组10批次34人，前往泰国、新西兰等国家及台湾地区进行教育教学交流。交换生项目、大学生夏令营项目连续实施两年，效果良好。</w:t>
      </w:r>
      <w:bookmarkEnd w:id="11"/>
      <w:r>
        <w:rPr>
          <w:rFonts w:hint="eastAsia" w:ascii="仿宋" w:hAnsi="仿宋" w:eastAsia="仿宋" w:cs="仿宋"/>
          <w:color w:val="000000" w:themeColor="text1"/>
          <w:spacing w:val="7"/>
          <w:kern w:val="2"/>
          <w:sz w:val="30"/>
          <w:szCs w:val="30"/>
          <w:u w:val="none"/>
          <w:lang w:val="en-US" w:eastAsia="zh-CN" w:bidi="ar-SA"/>
          <w14:textFill>
            <w14:solidFill>
              <w14:schemeClr w14:val="tx1"/>
            </w14:solidFill>
          </w14:textFill>
        </w:rPr>
        <w:t xml:space="preserve">              </w:t>
      </w:r>
      <w:r>
        <w:rPr>
          <w:rFonts w:hint="eastAsia" w:ascii="华文仿宋" w:hAnsi="华文仿宋" w:eastAsia="华文仿宋"/>
          <w:sz w:val="28"/>
          <w:szCs w:val="28"/>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2" w:leftChars="0" w:firstLine="628" w:firstLineChars="0"/>
        <w:jc w:val="both"/>
        <w:textAlignment w:val="auto"/>
        <w:outlineLvl w:val="1"/>
        <w:rPr>
          <w:rFonts w:hint="eastAsia" w:ascii="仿宋" w:hAnsi="仿宋" w:eastAsia="仿宋" w:cs="仿宋"/>
          <w:b/>
          <w:bCs/>
          <w:color w:val="000000" w:themeColor="text1"/>
          <w:spacing w:val="7"/>
          <w:kern w:val="2"/>
          <w:sz w:val="30"/>
          <w:szCs w:val="30"/>
          <w:u w:val="none"/>
          <w:lang w:val="en-US" w:eastAsia="zh-CN" w:bidi="ar-SA"/>
          <w14:textFill>
            <w14:solidFill>
              <w14:schemeClr w14:val="tx1"/>
            </w14:solidFill>
          </w14:textFill>
        </w:rPr>
      </w:pPr>
      <w:bookmarkStart w:id="12" w:name="_Toc13000"/>
      <w:r>
        <w:rPr>
          <w:rFonts w:hint="eastAsia" w:ascii="仿宋" w:hAnsi="仿宋" w:eastAsia="仿宋" w:cs="仿宋"/>
          <w:b/>
          <w:bCs/>
          <w:color w:val="000000" w:themeColor="text1"/>
          <w:spacing w:val="7"/>
          <w:kern w:val="2"/>
          <w:sz w:val="30"/>
          <w:szCs w:val="30"/>
          <w:u w:val="none"/>
          <w:lang w:val="en-US" w:eastAsia="zh-CN" w:bidi="ar-SA"/>
          <w14:textFill>
            <w14:solidFill>
              <w14:schemeClr w14:val="tx1"/>
            </w14:solidFill>
          </w14:textFill>
        </w:rPr>
        <w:t>办学投入不断加大，支撑保障条件日益完善</w:t>
      </w:r>
      <w:bookmarkEnd w:id="12"/>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28" w:firstLineChars="200"/>
        <w:jc w:val="both"/>
        <w:textAlignment w:val="auto"/>
        <w:outlineLvl w:val="1"/>
        <w:rPr>
          <w:rFonts w:hint="eastAsia" w:ascii="仿宋" w:hAnsi="仿宋" w:eastAsia="仿宋" w:cs="仿宋"/>
          <w:color w:val="0000FF"/>
          <w:spacing w:val="7"/>
          <w:kern w:val="2"/>
          <w:sz w:val="30"/>
          <w:szCs w:val="30"/>
          <w:u w:val="none"/>
          <w:lang w:val="en-US" w:eastAsia="zh-CN" w:bidi="ar-SA"/>
        </w:rPr>
      </w:pPr>
      <w:bookmarkStart w:id="13" w:name="_Toc14534"/>
      <w:r>
        <w:rPr>
          <w:rFonts w:hint="eastAsia" w:ascii="仿宋" w:hAnsi="仿宋" w:eastAsia="仿宋" w:cs="仿宋"/>
          <w:color w:val="000000" w:themeColor="text1"/>
          <w:spacing w:val="7"/>
          <w:kern w:val="2"/>
          <w:sz w:val="30"/>
          <w:szCs w:val="30"/>
          <w:u w:val="none"/>
          <w:lang w:val="en-US" w:eastAsia="zh-CN" w:bidi="ar-SA"/>
          <w14:textFill>
            <w14:solidFill>
              <w14:schemeClr w14:val="tx1"/>
            </w14:solidFill>
          </w14:textFill>
        </w:rPr>
        <w:t>学校总占地面积1198005.99㎡，总建筑面积为436693.25㎡。学校现有教学行政用房面积227828.7㎡，实验室及实习场所面积108966.43㎡，生均教学行政用房13.14㎡。财政投入生均拨款达到1.2万元，教学科研仪器设备总值近1.3亿元。现有园艺技术、水产养殖技术2个国家级职业教育培训实训基地；食品加工技术、植物保护、畜牧兽医、农业技术4个省级示范性实训基地；省级重点实验室、省级实验教学示范中心各一个；建有农林实习场、中心实验室等校内外实习基地200多个，农学、牧医等实验实训中心16个，建制实验室45个，各类功能实验室181个。图书馆面积2.8万平方米，拥有纸质图书155.4万册，生均纸质图书89.23册；拥有电子图书61.7万册，电子期刊44982种。建有较完善的计算机网络服务体系，无线网实现校园全覆盖，建设了教务管理系统、国有资产管理系统、财务管理系统等一批部门级应用信息系统，实现了教学、资产、财务等信息化管理。校园一卡通系统、智慧教室投入使用。</w:t>
      </w:r>
      <w:bookmarkEnd w:id="13"/>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2" w:leftChars="0" w:firstLine="628" w:firstLineChars="0"/>
        <w:jc w:val="both"/>
        <w:textAlignment w:val="auto"/>
        <w:outlineLvl w:val="1"/>
        <w:rPr>
          <w:rFonts w:hint="eastAsia" w:ascii="仿宋" w:hAnsi="仿宋" w:eastAsia="仿宋" w:cs="仿宋"/>
          <w:b/>
          <w:bCs/>
          <w:color w:val="000000" w:themeColor="text1"/>
          <w:spacing w:val="7"/>
          <w:kern w:val="2"/>
          <w:sz w:val="30"/>
          <w:szCs w:val="30"/>
          <w:u w:val="none"/>
          <w:lang w:val="en-US" w:eastAsia="zh-CN" w:bidi="ar-SA"/>
          <w14:textFill>
            <w14:solidFill>
              <w14:schemeClr w14:val="tx1"/>
            </w14:solidFill>
          </w14:textFill>
        </w:rPr>
      </w:pPr>
      <w:bookmarkStart w:id="14" w:name="_Toc28273"/>
      <w:r>
        <w:rPr>
          <w:rFonts w:hint="eastAsia" w:ascii="仿宋" w:hAnsi="仿宋" w:eastAsia="仿宋" w:cs="仿宋"/>
          <w:b/>
          <w:bCs/>
          <w:color w:val="000000" w:themeColor="text1"/>
          <w:spacing w:val="7"/>
          <w:kern w:val="2"/>
          <w:sz w:val="30"/>
          <w:szCs w:val="30"/>
          <w:u w:val="none"/>
          <w:lang w:val="en-US" w:eastAsia="zh-CN" w:bidi="ar-SA"/>
          <w14:textFill>
            <w14:solidFill>
              <w14:schemeClr w14:val="tx1"/>
            </w14:solidFill>
          </w14:textFill>
        </w:rPr>
        <w:t>育人环境不断改善，校园文化建设特色明显</w:t>
      </w:r>
      <w:bookmarkEnd w:id="14"/>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28" w:firstLineChars="200"/>
        <w:jc w:val="both"/>
        <w:textAlignment w:val="auto"/>
        <w:outlineLvl w:val="1"/>
        <w:rPr>
          <w:rFonts w:hint="eastAsia" w:ascii="仿宋" w:hAnsi="仿宋" w:eastAsia="仿宋" w:cs="仿宋"/>
          <w:color w:val="000000" w:themeColor="text1"/>
          <w:spacing w:val="7"/>
          <w:kern w:val="2"/>
          <w:sz w:val="30"/>
          <w:szCs w:val="30"/>
          <w:u w:val="none"/>
          <w:lang w:val="en-US" w:eastAsia="zh-CN" w:bidi="ar-SA"/>
          <w14:textFill>
            <w14:solidFill>
              <w14:schemeClr w14:val="tx1"/>
            </w14:solidFill>
          </w14:textFill>
        </w:rPr>
      </w:pPr>
      <w:bookmarkStart w:id="15" w:name="_Toc27761"/>
      <w:r>
        <w:rPr>
          <w:rFonts w:hint="eastAsia" w:ascii="仿宋" w:hAnsi="仿宋" w:eastAsia="仿宋" w:cs="仿宋"/>
          <w:color w:val="000000" w:themeColor="text1"/>
          <w:spacing w:val="7"/>
          <w:kern w:val="2"/>
          <w:sz w:val="30"/>
          <w:szCs w:val="30"/>
          <w:u w:val="none"/>
          <w:lang w:val="en-US" w:eastAsia="zh-CN" w:bidi="ar-SA"/>
          <w14:textFill>
            <w14:solidFill>
              <w14:schemeClr w14:val="tx1"/>
            </w14:solidFill>
          </w14:textFill>
        </w:rPr>
        <w:t>坚持“围绕发展抓创建、抓好创建促发展”的指导思想，切实加强思想道德建设、领导班子建设、教师队伍建设、校园文化建设、校园环境建设。不断加强“三全育人”工作，将精神文明建设与人才培养、科学研究、社会服务、文化传承紧密结合，广泛开展校园文化活动，环境育人功能进一步完善。成功获批2019年河南省高校网络文化建设精品项目，2020年荣获“河南省文明校园”称号。重视典型选树工作，强化师德标兵、文明教师示范引领作用，师德师风建设取得新成绩。</w:t>
      </w:r>
      <w:bookmarkEnd w:id="15"/>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2" w:leftChars="0" w:firstLine="628" w:firstLineChars="0"/>
        <w:jc w:val="both"/>
        <w:textAlignment w:val="auto"/>
        <w:outlineLvl w:val="1"/>
        <w:rPr>
          <w:rFonts w:hint="eastAsia" w:ascii="仿宋" w:hAnsi="仿宋" w:eastAsia="仿宋" w:cs="仿宋"/>
          <w:b/>
          <w:bCs/>
          <w:color w:val="000000" w:themeColor="text1"/>
          <w:spacing w:val="7"/>
          <w:kern w:val="2"/>
          <w:sz w:val="30"/>
          <w:szCs w:val="30"/>
          <w:u w:val="none"/>
          <w:lang w:val="en-US" w:eastAsia="zh-CN" w:bidi="ar-SA"/>
          <w14:textFill>
            <w14:solidFill>
              <w14:schemeClr w14:val="tx1"/>
            </w14:solidFill>
          </w14:textFill>
        </w:rPr>
      </w:pPr>
      <w:bookmarkStart w:id="16" w:name="_Toc29596"/>
      <w:r>
        <w:rPr>
          <w:rFonts w:hint="eastAsia" w:ascii="仿宋" w:hAnsi="仿宋" w:eastAsia="仿宋" w:cs="仿宋"/>
          <w:b/>
          <w:bCs/>
          <w:color w:val="000000" w:themeColor="text1"/>
          <w:spacing w:val="7"/>
          <w:kern w:val="2"/>
          <w:sz w:val="30"/>
          <w:szCs w:val="30"/>
          <w:u w:val="none"/>
          <w:lang w:val="en-US" w:eastAsia="zh-CN" w:bidi="ar-SA"/>
          <w14:textFill>
            <w14:solidFill>
              <w14:schemeClr w14:val="tx1"/>
            </w14:solidFill>
          </w14:textFill>
        </w:rPr>
        <w:t>制度建设持续加强，依法治校成效显著</w:t>
      </w:r>
      <w:bookmarkEnd w:id="16"/>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28" w:firstLineChars="200"/>
        <w:jc w:val="both"/>
        <w:textAlignment w:val="auto"/>
        <w:outlineLvl w:val="1"/>
        <w:rPr>
          <w:rFonts w:hint="eastAsia" w:ascii="仿宋" w:hAnsi="仿宋" w:eastAsia="仿宋" w:cs="仿宋"/>
          <w:color w:val="000000" w:themeColor="text1"/>
          <w:spacing w:val="7"/>
          <w:kern w:val="2"/>
          <w:sz w:val="30"/>
          <w:szCs w:val="30"/>
          <w:u w:val="none"/>
          <w:lang w:val="en-US" w:eastAsia="zh-CN" w:bidi="ar-SA"/>
          <w14:textFill>
            <w14:solidFill>
              <w14:schemeClr w14:val="tx1"/>
            </w14:solidFill>
          </w14:textFill>
        </w:rPr>
      </w:pPr>
      <w:bookmarkStart w:id="17" w:name="_Toc10"/>
      <w:r>
        <w:rPr>
          <w:rFonts w:hint="eastAsia" w:ascii="仿宋" w:hAnsi="仿宋" w:eastAsia="仿宋" w:cs="仿宋"/>
          <w:color w:val="000000" w:themeColor="text1"/>
          <w:spacing w:val="7"/>
          <w:kern w:val="2"/>
          <w:sz w:val="30"/>
          <w:szCs w:val="30"/>
          <w:u w:val="none"/>
          <w:lang w:val="en-US" w:eastAsia="zh-CN" w:bidi="ar-SA"/>
          <w14:textFill>
            <w14:solidFill>
              <w14:schemeClr w14:val="tx1"/>
            </w14:solidFill>
          </w14:textFill>
        </w:rPr>
        <w:t>学校制定实施《信阳农林学院章程》《信阳农林学院学术委员会章程》等，完善了党委领导下的校长负责制，确立了校学术委员会统筹行使校内学术事务权力的地位；系统梳理了各项规章制度，实施包括人事管理、人才培养及科研管理体制机制改革等在内的“废改立”和“放管服”等改革举措，依法治校全面推进，基本形成多方位教育综合改革局面，推动各项工作规范运行。人事分配制度不断完善，教职工待遇有了明显提高，师生获得感得到增强。财务、审计、国有资产管理及招投标工作不断规范和加强。</w:t>
      </w:r>
      <w:bookmarkEnd w:id="17"/>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2" w:leftChars="0" w:firstLine="628" w:firstLineChars="0"/>
        <w:jc w:val="both"/>
        <w:textAlignment w:val="auto"/>
        <w:outlineLvl w:val="1"/>
        <w:rPr>
          <w:rFonts w:hint="eastAsia" w:ascii="仿宋" w:hAnsi="仿宋" w:eastAsia="仿宋" w:cs="仿宋"/>
          <w:b/>
          <w:bCs/>
          <w:color w:val="000000" w:themeColor="text1"/>
          <w:spacing w:val="7"/>
          <w:kern w:val="2"/>
          <w:sz w:val="30"/>
          <w:szCs w:val="30"/>
          <w:u w:val="none"/>
          <w:lang w:val="en-US" w:eastAsia="zh-CN" w:bidi="ar-SA"/>
          <w14:textFill>
            <w14:solidFill>
              <w14:schemeClr w14:val="tx1"/>
            </w14:solidFill>
          </w14:textFill>
        </w:rPr>
      </w:pPr>
      <w:bookmarkStart w:id="18" w:name="_Toc17568"/>
      <w:r>
        <w:rPr>
          <w:rFonts w:hint="eastAsia" w:ascii="仿宋" w:hAnsi="仿宋" w:eastAsia="仿宋" w:cs="仿宋"/>
          <w:b/>
          <w:bCs/>
          <w:color w:val="000000" w:themeColor="text1"/>
          <w:spacing w:val="7"/>
          <w:kern w:val="2"/>
          <w:sz w:val="30"/>
          <w:szCs w:val="30"/>
          <w:u w:val="none"/>
          <w:lang w:val="en-US" w:eastAsia="zh-CN" w:bidi="ar-SA"/>
          <w14:textFill>
            <w14:solidFill>
              <w14:schemeClr w14:val="tx1"/>
            </w14:solidFill>
          </w14:textFill>
        </w:rPr>
        <w:t>党建工作日益深化，思想政治工作再上台阶</w:t>
      </w:r>
      <w:bookmarkEnd w:id="18"/>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28" w:firstLineChars="200"/>
        <w:jc w:val="both"/>
        <w:textAlignment w:val="auto"/>
        <w:outlineLvl w:val="1"/>
        <w:rPr>
          <w:rFonts w:hint="eastAsia" w:ascii="仿宋" w:hAnsi="仿宋" w:eastAsia="仿宋" w:cs="仿宋"/>
          <w:color w:val="000000" w:themeColor="text1"/>
          <w:spacing w:val="7"/>
          <w:kern w:val="2"/>
          <w:sz w:val="30"/>
          <w:szCs w:val="30"/>
          <w:u w:val="none"/>
          <w:lang w:val="en-US" w:eastAsia="zh-CN" w:bidi="ar-SA"/>
          <w14:textFill>
            <w14:solidFill>
              <w14:schemeClr w14:val="tx1"/>
            </w14:solidFill>
          </w14:textFill>
        </w:rPr>
      </w:pPr>
      <w:bookmarkStart w:id="19" w:name="_Toc2606"/>
      <w:r>
        <w:rPr>
          <w:rFonts w:hint="eastAsia" w:ascii="仿宋" w:hAnsi="仿宋" w:eastAsia="仿宋" w:cs="仿宋"/>
          <w:color w:val="000000" w:themeColor="text1"/>
          <w:spacing w:val="7"/>
          <w:kern w:val="2"/>
          <w:sz w:val="30"/>
          <w:szCs w:val="30"/>
          <w:u w:val="none"/>
          <w:lang w:val="en-US" w:eastAsia="zh-CN" w:bidi="ar-SA"/>
          <w14:textFill>
            <w14:solidFill>
              <w14:schemeClr w14:val="tx1"/>
            </w14:solidFill>
          </w14:textFill>
        </w:rPr>
        <w:t>充分发挥党建工作对各项事业发展的引领、保障和促进作用，积极探索党建工作新载体、新模式、新机制。党委领导核心作用、各党总支、支部的战斗堡垒作用和共产党员的先锋模范作用得到充分发挥。领导班子建设不断加强，基层党组织建设进一步完善，干部队伍整体素质明显提高，全面从严治党向纵深发展。加强党委对意识形态工作的领导，坚持社会主义办学方向，坚持用习近平新时代中国特色社会主义思想武装头脑，深入学习贯彻习近平总书记重要教育论述和党的十九届历次全会精神，不断加强和改进思想政治工作，为推动学校改革发展提供了强有力的思想武器和组织保障。</w:t>
      </w:r>
      <w:bookmarkEnd w:id="19"/>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628" w:firstLineChars="200"/>
        <w:jc w:val="both"/>
        <w:textAlignment w:val="auto"/>
        <w:rPr>
          <w:rFonts w:hint="eastAsia" w:ascii="仿宋" w:hAnsi="仿宋" w:eastAsia="仿宋" w:cs="仿宋"/>
          <w:color w:val="000000" w:themeColor="text1"/>
          <w:spacing w:val="7"/>
          <w:kern w:val="2"/>
          <w:sz w:val="30"/>
          <w:szCs w:val="30"/>
          <w:u w:val="none"/>
          <w:lang w:val="en-US" w:eastAsia="zh-CN" w:bidi="ar-SA"/>
          <w14:textFill>
            <w14:solidFill>
              <w14:schemeClr w14:val="tx1"/>
            </w14:solidFill>
          </w14:textFill>
        </w:rPr>
      </w:pPr>
      <w:r>
        <w:rPr>
          <w:rFonts w:hint="eastAsia" w:ascii="仿宋" w:hAnsi="仿宋" w:eastAsia="仿宋" w:cs="仿宋"/>
          <w:color w:val="000000" w:themeColor="text1"/>
          <w:spacing w:val="7"/>
          <w:kern w:val="2"/>
          <w:sz w:val="30"/>
          <w:szCs w:val="30"/>
          <w:u w:val="none"/>
          <w:lang w:val="en-US" w:eastAsia="zh-CN" w:bidi="ar-SA"/>
          <w14:textFill>
            <w14:solidFill>
              <w14:schemeClr w14:val="tx1"/>
            </w14:solidFill>
          </w14:textFill>
        </w:rPr>
        <w:t>学校“十三五”发展形成了如下</w:t>
      </w:r>
      <w:r>
        <w:rPr>
          <w:rFonts w:hint="eastAsia" w:ascii="仿宋" w:hAnsi="仿宋" w:eastAsia="仿宋" w:cs="仿宋"/>
          <w:b/>
          <w:bCs/>
          <w:color w:val="000000" w:themeColor="text1"/>
          <w:spacing w:val="7"/>
          <w:kern w:val="2"/>
          <w:sz w:val="30"/>
          <w:szCs w:val="30"/>
          <w:u w:val="none"/>
          <w:lang w:val="en-US" w:eastAsia="zh-CN" w:bidi="ar-SA"/>
          <w14:textFill>
            <w14:solidFill>
              <w14:schemeClr w14:val="tx1"/>
            </w14:solidFill>
          </w14:textFill>
        </w:rPr>
        <w:t>共识和经验</w:t>
      </w:r>
      <w:r>
        <w:rPr>
          <w:rFonts w:hint="eastAsia" w:ascii="仿宋" w:hAnsi="仿宋" w:eastAsia="仿宋" w:cs="仿宋"/>
          <w:color w:val="000000" w:themeColor="text1"/>
          <w:spacing w:val="7"/>
          <w:kern w:val="2"/>
          <w:sz w:val="30"/>
          <w:szCs w:val="30"/>
          <w:u w:val="none"/>
          <w:lang w:val="en-US" w:eastAsia="zh-CN" w:bidi="ar-SA"/>
          <w14:textFill>
            <w14:solidFill>
              <w14:schemeClr w14:val="tx1"/>
            </w14:solidFill>
          </w14:textFill>
        </w:rPr>
        <w:t>：一是要坚持党的全面领导，把握社会主义办学方向；二是坚持“立德树人”根本任务，为党育人，为国育才；三是要坚持办学定位，坚定发展方向；四是坚持以人为本，落实人才强校战略；五是坚持解放思想，不断推进改革创新；六是坚持扎根地方，着力服务区域发展；七是坚持农林特色，推进内涵发展；八是坚持优良传统，不断追求自我超越。这些共识和经验，需要在“十四五”期间倍加珍惜，发扬光大。</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630" w:firstLineChars="200"/>
        <w:jc w:val="both"/>
        <w:textAlignment w:val="auto"/>
        <w:outlineLvl w:val="0"/>
        <w:rPr>
          <w:rFonts w:hint="eastAsia" w:ascii="仿宋" w:hAnsi="仿宋" w:eastAsia="仿宋" w:cs="仿宋"/>
          <w:b/>
          <w:bCs/>
          <w:color w:val="000000" w:themeColor="text1"/>
          <w:spacing w:val="7"/>
          <w:kern w:val="2"/>
          <w:sz w:val="30"/>
          <w:szCs w:val="30"/>
          <w:u w:val="none"/>
          <w:lang w:val="en-US" w:eastAsia="zh-CN" w:bidi="ar-SA"/>
          <w14:textFill>
            <w14:solidFill>
              <w14:schemeClr w14:val="tx1"/>
            </w14:solidFill>
          </w14:textFill>
        </w:rPr>
      </w:pPr>
      <w:bookmarkStart w:id="20" w:name="_Toc19649"/>
      <w:r>
        <w:rPr>
          <w:rFonts w:hint="eastAsia" w:ascii="仿宋" w:hAnsi="仿宋" w:eastAsia="仿宋" w:cs="仿宋"/>
          <w:b/>
          <w:bCs/>
          <w:color w:val="000000" w:themeColor="text1"/>
          <w:spacing w:val="7"/>
          <w:kern w:val="2"/>
          <w:sz w:val="30"/>
          <w:szCs w:val="30"/>
          <w:u w:val="none"/>
          <w:lang w:val="en-US" w:eastAsia="zh-CN" w:bidi="ar-SA"/>
          <w14:textFill>
            <w14:solidFill>
              <w14:schemeClr w14:val="tx1"/>
            </w14:solidFill>
          </w14:textFill>
        </w:rPr>
        <w:t>二、“十四五”</w:t>
      </w:r>
      <w:r>
        <w:rPr>
          <w:rFonts w:hint="eastAsia" w:ascii="仿宋" w:hAnsi="仿宋" w:eastAsia="仿宋" w:cs="仿宋"/>
          <w:b/>
          <w:bCs/>
          <w:color w:val="0000FF"/>
          <w:sz w:val="30"/>
          <w:szCs w:val="30"/>
          <w:u w:val="none"/>
          <w:lang w:val="en-US" w:eastAsia="zh-CN"/>
        </w:rPr>
        <w:t>时期</w:t>
      </w:r>
      <w:r>
        <w:rPr>
          <w:rFonts w:hint="eastAsia" w:ascii="仿宋" w:hAnsi="仿宋" w:eastAsia="仿宋" w:cs="仿宋"/>
          <w:b/>
          <w:bCs/>
          <w:color w:val="000000" w:themeColor="text1"/>
          <w:spacing w:val="7"/>
          <w:kern w:val="2"/>
          <w:sz w:val="30"/>
          <w:szCs w:val="30"/>
          <w:u w:val="none"/>
          <w:lang w:val="en-US" w:eastAsia="zh-CN" w:bidi="ar-SA"/>
          <w14:textFill>
            <w14:solidFill>
              <w14:schemeClr w14:val="tx1"/>
            </w14:solidFill>
          </w14:textFill>
        </w:rPr>
        <w:t>学校发展面临的机遇与挑战</w:t>
      </w:r>
      <w:bookmarkEnd w:id="20"/>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630" w:firstLineChars="200"/>
        <w:jc w:val="both"/>
        <w:textAlignment w:val="auto"/>
        <w:outlineLvl w:val="1"/>
        <w:rPr>
          <w:rFonts w:hint="eastAsia" w:ascii="仿宋" w:hAnsi="仿宋" w:eastAsia="仿宋" w:cs="仿宋"/>
          <w:b/>
          <w:bCs/>
          <w:color w:val="000000" w:themeColor="text1"/>
          <w:spacing w:val="7"/>
          <w:kern w:val="2"/>
          <w:sz w:val="30"/>
          <w:szCs w:val="30"/>
          <w:u w:val="none"/>
          <w:lang w:val="en-US" w:eastAsia="zh-CN" w:bidi="ar-SA"/>
          <w14:textFill>
            <w14:solidFill>
              <w14:schemeClr w14:val="tx1"/>
            </w14:solidFill>
          </w14:textFill>
        </w:rPr>
      </w:pPr>
      <w:bookmarkStart w:id="21" w:name="_Toc9158"/>
      <w:r>
        <w:rPr>
          <w:rFonts w:hint="eastAsia" w:ascii="仿宋" w:hAnsi="仿宋" w:eastAsia="仿宋" w:cs="仿宋"/>
          <w:b/>
          <w:bCs/>
          <w:color w:val="000000" w:themeColor="text1"/>
          <w:spacing w:val="7"/>
          <w:kern w:val="2"/>
          <w:sz w:val="30"/>
          <w:szCs w:val="30"/>
          <w:u w:val="none"/>
          <w:lang w:val="en-US" w:eastAsia="zh-CN" w:bidi="ar-SA"/>
          <w14:textFill>
            <w14:solidFill>
              <w14:schemeClr w14:val="tx1"/>
            </w14:solidFill>
          </w14:textFill>
        </w:rPr>
        <w:t>（一）发展机遇</w:t>
      </w:r>
      <w:bookmarkEnd w:id="21"/>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628" w:firstLineChars="200"/>
        <w:jc w:val="both"/>
        <w:textAlignment w:val="auto"/>
        <w:rPr>
          <w:rFonts w:hint="eastAsia" w:ascii="仿宋" w:hAnsi="仿宋" w:eastAsia="仿宋" w:cs="仿宋"/>
          <w:color w:val="000000" w:themeColor="text1"/>
          <w:spacing w:val="7"/>
          <w:kern w:val="2"/>
          <w:sz w:val="30"/>
          <w:szCs w:val="30"/>
          <w:u w:val="none"/>
          <w:lang w:val="en-US" w:eastAsia="zh-CN" w:bidi="ar-SA"/>
          <w14:textFill>
            <w14:solidFill>
              <w14:schemeClr w14:val="tx1"/>
            </w14:solidFill>
          </w14:textFill>
        </w:rPr>
      </w:pPr>
      <w:r>
        <w:rPr>
          <w:rFonts w:hint="eastAsia" w:ascii="仿宋" w:hAnsi="仿宋" w:eastAsia="仿宋" w:cs="仿宋"/>
          <w:color w:val="000000" w:themeColor="text1"/>
          <w:spacing w:val="7"/>
          <w:kern w:val="2"/>
          <w:sz w:val="30"/>
          <w:szCs w:val="30"/>
          <w:u w:val="none"/>
          <w:lang w:val="en-US" w:eastAsia="zh-CN" w:bidi="ar-SA"/>
          <w14:textFill>
            <w14:solidFill>
              <w14:schemeClr w14:val="tx1"/>
            </w14:solidFill>
          </w14:textFill>
        </w:rPr>
        <w:t>“十四五”期间，学校面临难得的发展机遇。国家经济社会发展“十四五”规划明确提出，优先发展农业农村，全面推进乡村振兴，实施乡村建设行动。国家教育“十四五”规划提出，加快推进新农科建设，培养知农爱农的新型卓越农林人才；实施乡村教育振兴计划，深入实施高校乡村振兴科技创新行动计划，组织高校开展生物育种等农业关键核心技术攻关，加快农业科技创新成果转化应用。信阳市“十四五”经济社会发展规划提出，以国家级农科教合作人才培养基地建设为重点，构建以信阳农林学院为依托，以合作共建为主线，集“产、学、研、转、创、用”于一体的农林产教融合示范基地，把学校建成特色鲜明的区域性应用型农业类重点高校。《大别山革命老区振兴发展规划》《淮河生态经济带发展规划》等区域战略规划的颁布实施，都为学校的发展带来了难得的发展机遇。</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630" w:firstLineChars="200"/>
        <w:jc w:val="both"/>
        <w:textAlignment w:val="auto"/>
        <w:outlineLvl w:val="1"/>
        <w:rPr>
          <w:rFonts w:hint="eastAsia" w:ascii="仿宋" w:hAnsi="仿宋" w:eastAsia="仿宋" w:cs="仿宋"/>
          <w:b/>
          <w:bCs/>
          <w:color w:val="000000" w:themeColor="text1"/>
          <w:spacing w:val="7"/>
          <w:kern w:val="2"/>
          <w:sz w:val="30"/>
          <w:szCs w:val="30"/>
          <w:u w:val="none"/>
          <w:lang w:val="en-US" w:eastAsia="zh-CN" w:bidi="ar-SA"/>
          <w14:textFill>
            <w14:solidFill>
              <w14:schemeClr w14:val="tx1"/>
            </w14:solidFill>
          </w14:textFill>
        </w:rPr>
      </w:pPr>
      <w:bookmarkStart w:id="22" w:name="_Toc31020"/>
      <w:r>
        <w:rPr>
          <w:rFonts w:hint="eastAsia" w:ascii="仿宋" w:hAnsi="仿宋" w:eastAsia="仿宋" w:cs="仿宋"/>
          <w:b/>
          <w:bCs/>
          <w:color w:val="000000" w:themeColor="text1"/>
          <w:spacing w:val="7"/>
          <w:kern w:val="2"/>
          <w:sz w:val="30"/>
          <w:szCs w:val="30"/>
          <w:u w:val="none"/>
          <w:lang w:val="en-US" w:eastAsia="zh-CN" w:bidi="ar-SA"/>
          <w14:textFill>
            <w14:solidFill>
              <w14:schemeClr w14:val="tx1"/>
            </w14:solidFill>
          </w14:textFill>
        </w:rPr>
        <w:t>（二）问题与挑战</w:t>
      </w:r>
      <w:bookmarkEnd w:id="22"/>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630" w:firstLineChars="200"/>
        <w:jc w:val="both"/>
        <w:textAlignment w:val="auto"/>
        <w:rPr>
          <w:rFonts w:hint="eastAsia" w:ascii="仿宋" w:hAnsi="仿宋" w:eastAsia="仿宋" w:cs="仿宋"/>
          <w:color w:val="000000" w:themeColor="text1"/>
          <w:spacing w:val="7"/>
          <w:kern w:val="2"/>
          <w:sz w:val="30"/>
          <w:szCs w:val="30"/>
          <w:u w:val="none"/>
          <w:lang w:val="en-US" w:eastAsia="zh-CN" w:bidi="ar-SA"/>
          <w14:textFill>
            <w14:solidFill>
              <w14:schemeClr w14:val="tx1"/>
            </w14:solidFill>
          </w14:textFill>
        </w:rPr>
      </w:pPr>
      <w:r>
        <w:rPr>
          <w:rFonts w:hint="eastAsia" w:ascii="仿宋" w:hAnsi="仿宋" w:eastAsia="仿宋" w:cs="仿宋"/>
          <w:b/>
          <w:bCs/>
          <w:color w:val="000000" w:themeColor="text1"/>
          <w:spacing w:val="7"/>
          <w:kern w:val="2"/>
          <w:sz w:val="30"/>
          <w:szCs w:val="30"/>
          <w:u w:val="none"/>
          <w:lang w:val="en-US" w:eastAsia="zh-CN" w:bidi="ar-SA"/>
          <w14:textFill>
            <w14:solidFill>
              <w14:schemeClr w14:val="tx1"/>
            </w14:solidFill>
          </w14:textFill>
        </w:rPr>
        <w:t xml:space="preserve"> 区位性制约因素带来的外在挑战</w:t>
      </w:r>
      <w:r>
        <w:rPr>
          <w:rFonts w:hint="eastAsia" w:ascii="仿宋" w:hAnsi="仿宋" w:eastAsia="仿宋" w:cs="仿宋"/>
          <w:color w:val="000000" w:themeColor="text1"/>
          <w:spacing w:val="7"/>
          <w:kern w:val="2"/>
          <w:sz w:val="30"/>
          <w:szCs w:val="30"/>
          <w:u w:val="none"/>
          <w:lang w:val="en-US" w:eastAsia="zh-CN" w:bidi="ar-SA"/>
          <w14:textFill>
            <w14:solidFill>
              <w14:schemeClr w14:val="tx1"/>
            </w14:solidFill>
          </w14:textFill>
        </w:rPr>
        <w:t>。我国高等教育已经迈入普及化阶段，高等教育的国际国内竞争更加激烈。我校作为地方高校，受经济欠发达等区位因素和地方财力支持有限等不利因素影响，在加大经费投入、引进高层次人才、吸引优质资源等方面还存在明显竞争劣势；还存在着学校作为新建本科院校在全省本科方阵所处方位比较靠后、缺乏竞争优势的不利地位。如何破解这些难题，是学校发展面临的现实挑战。</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630" w:firstLineChars="200"/>
        <w:jc w:val="both"/>
        <w:textAlignment w:val="auto"/>
        <w:rPr>
          <w:rFonts w:hint="eastAsia" w:ascii="仿宋" w:hAnsi="仿宋" w:eastAsia="仿宋" w:cs="仿宋"/>
          <w:color w:val="000000" w:themeColor="text1"/>
          <w:spacing w:val="7"/>
          <w:kern w:val="2"/>
          <w:sz w:val="30"/>
          <w:szCs w:val="30"/>
          <w:u w:val="none"/>
          <w:lang w:val="en-US" w:eastAsia="zh-CN" w:bidi="ar-SA"/>
          <w14:textFill>
            <w14:solidFill>
              <w14:schemeClr w14:val="tx1"/>
            </w14:solidFill>
          </w14:textFill>
        </w:rPr>
      </w:pPr>
      <w:r>
        <w:rPr>
          <w:rFonts w:hint="eastAsia" w:ascii="仿宋" w:hAnsi="仿宋" w:eastAsia="仿宋" w:cs="仿宋"/>
          <w:b/>
          <w:bCs/>
          <w:color w:val="000000" w:themeColor="text1"/>
          <w:spacing w:val="7"/>
          <w:kern w:val="2"/>
          <w:sz w:val="30"/>
          <w:szCs w:val="30"/>
          <w:u w:val="none"/>
          <w:lang w:val="en-US" w:eastAsia="zh-CN" w:bidi="ar-SA"/>
          <w14:textFill>
            <w14:solidFill>
              <w14:schemeClr w14:val="tx1"/>
            </w14:solidFill>
          </w14:textFill>
        </w:rPr>
        <w:t>推动高质量转型发展面临的形势挑战</w:t>
      </w:r>
      <w:r>
        <w:rPr>
          <w:rFonts w:hint="eastAsia" w:ascii="仿宋" w:hAnsi="仿宋" w:eastAsia="仿宋" w:cs="仿宋"/>
          <w:color w:val="000000" w:themeColor="text1"/>
          <w:spacing w:val="7"/>
          <w:kern w:val="2"/>
          <w:sz w:val="30"/>
          <w:szCs w:val="30"/>
          <w:u w:val="none"/>
          <w:lang w:val="en-US" w:eastAsia="zh-CN" w:bidi="ar-SA"/>
          <w14:textFill>
            <w14:solidFill>
              <w14:schemeClr w14:val="tx1"/>
            </w14:solidFill>
          </w14:textFill>
        </w:rPr>
        <w:t xml:space="preserve">。十四五时期学校面临着办学重点由过去规模扩张与内涵建设并举向以强化内涵建设、质量提升为主转变，发展方向由相对趋同向强化特色发展转变，办学模式由相对封闭向开放合作转变，办学体制机制由相对僵化向灵活高效转变等方面的新形势、新要求；面临着推进“四新建设”、“双一流建设”，构建高质量应用型人才培养体系的迫切要求；面临着迎接本科教学合格评估和审核评估，加快转型发展的艰巨任务，这些都将成为倒逼学校深化改革、加快转型发展、实现弯道超车的形势挑战。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630" w:firstLineChars="200"/>
        <w:jc w:val="both"/>
        <w:textAlignment w:val="auto"/>
        <w:rPr>
          <w:rFonts w:hint="eastAsia" w:ascii="仿宋" w:hAnsi="仿宋" w:eastAsia="仿宋" w:cs="仿宋"/>
          <w:color w:val="000000" w:themeColor="text1"/>
          <w:spacing w:val="7"/>
          <w:kern w:val="2"/>
          <w:sz w:val="30"/>
          <w:szCs w:val="30"/>
          <w:u w:val="none"/>
          <w:lang w:val="en-US" w:eastAsia="zh-CN" w:bidi="ar-SA"/>
          <w14:textFill>
            <w14:solidFill>
              <w14:schemeClr w14:val="tx1"/>
            </w14:solidFill>
          </w14:textFill>
        </w:rPr>
      </w:pPr>
      <w:r>
        <w:rPr>
          <w:rFonts w:hint="eastAsia" w:ascii="仿宋" w:hAnsi="仿宋" w:eastAsia="仿宋" w:cs="仿宋"/>
          <w:b/>
          <w:bCs/>
          <w:color w:val="0000FF"/>
          <w:spacing w:val="7"/>
          <w:kern w:val="2"/>
          <w:sz w:val="30"/>
          <w:szCs w:val="30"/>
          <w:u w:val="none"/>
          <w:lang w:val="en-US" w:eastAsia="zh-CN" w:bidi="ar-SA"/>
        </w:rPr>
        <w:t>学校面临的现实问题亟待解决</w:t>
      </w:r>
      <w:r>
        <w:rPr>
          <w:rFonts w:hint="eastAsia" w:ascii="仿宋" w:hAnsi="仿宋" w:eastAsia="仿宋" w:cs="仿宋"/>
          <w:color w:val="000000" w:themeColor="text1"/>
          <w:spacing w:val="7"/>
          <w:kern w:val="2"/>
          <w:sz w:val="30"/>
          <w:szCs w:val="30"/>
          <w:u w:val="none"/>
          <w:lang w:val="en-US" w:eastAsia="zh-CN" w:bidi="ar-SA"/>
          <w14:textFill>
            <w14:solidFill>
              <w14:schemeClr w14:val="tx1"/>
            </w14:solidFill>
          </w14:textFill>
        </w:rPr>
        <w:t>。“十三五”期间学校虽然取得可喜成绩，但要清醒认识到，学校办学治校理念、教育教学观念、人才培养模式有待进一步创新；学科专业结构有待进一步优化，教育教学改革有待进一步深化，应用型人才培养质量有待进一步提高；基本办学条件</w:t>
      </w:r>
      <w:r>
        <w:rPr>
          <w:rFonts w:hint="eastAsia" w:ascii="仿宋" w:hAnsi="仿宋" w:eastAsia="仿宋" w:cs="仿宋"/>
          <w:color w:val="0000FF"/>
          <w:spacing w:val="7"/>
          <w:kern w:val="2"/>
          <w:sz w:val="30"/>
          <w:szCs w:val="30"/>
          <w:u w:val="none"/>
          <w:lang w:val="en-US" w:eastAsia="zh-CN" w:bidi="ar-SA"/>
        </w:rPr>
        <w:t>亟需</w:t>
      </w:r>
      <w:r>
        <w:rPr>
          <w:rFonts w:hint="eastAsia" w:ascii="仿宋" w:hAnsi="仿宋" w:eastAsia="仿宋" w:cs="仿宋"/>
          <w:color w:val="000000" w:themeColor="text1"/>
          <w:spacing w:val="7"/>
          <w:kern w:val="2"/>
          <w:sz w:val="30"/>
          <w:szCs w:val="30"/>
          <w:u w:val="none"/>
          <w:lang w:val="en-US" w:eastAsia="zh-CN" w:bidi="ar-SA"/>
          <w14:textFill>
            <w14:solidFill>
              <w14:schemeClr w14:val="tx1"/>
            </w14:solidFill>
          </w14:textFill>
        </w:rPr>
        <w:t>改善；高层次人才引进和“双师双能型”教师队伍建设力度</w:t>
      </w:r>
      <w:r>
        <w:rPr>
          <w:rFonts w:hint="eastAsia" w:ascii="仿宋" w:hAnsi="仿宋" w:eastAsia="仿宋" w:cs="仿宋"/>
          <w:color w:val="FF0000"/>
          <w:spacing w:val="7"/>
          <w:kern w:val="2"/>
          <w:sz w:val="30"/>
          <w:szCs w:val="30"/>
          <w:u w:val="none"/>
          <w:lang w:val="en-US" w:eastAsia="zh-CN" w:bidi="ar-SA"/>
        </w:rPr>
        <w:t>亟待</w:t>
      </w:r>
      <w:r>
        <w:rPr>
          <w:rFonts w:hint="eastAsia" w:ascii="仿宋" w:hAnsi="仿宋" w:eastAsia="仿宋" w:cs="仿宋"/>
          <w:color w:val="000000" w:themeColor="text1"/>
          <w:spacing w:val="7"/>
          <w:kern w:val="2"/>
          <w:sz w:val="30"/>
          <w:szCs w:val="30"/>
          <w:u w:val="none"/>
          <w:lang w:val="en-US" w:eastAsia="zh-CN" w:bidi="ar-SA"/>
          <w14:textFill>
            <w14:solidFill>
              <w14:schemeClr w14:val="tx1"/>
            </w14:solidFill>
          </w14:textFill>
        </w:rPr>
        <w:t>加强；科研水平、成果转化及</w:t>
      </w:r>
      <w:r>
        <w:rPr>
          <w:rFonts w:hint="eastAsia" w:ascii="仿宋" w:hAnsi="仿宋" w:eastAsia="仿宋" w:cs="仿宋"/>
          <w:color w:val="FF0000"/>
          <w:spacing w:val="7"/>
          <w:kern w:val="2"/>
          <w:sz w:val="30"/>
          <w:szCs w:val="30"/>
          <w:u w:val="none"/>
          <w:lang w:val="en-US" w:eastAsia="zh-CN" w:bidi="ar-SA"/>
        </w:rPr>
        <w:t>社会服务</w:t>
      </w:r>
      <w:r>
        <w:rPr>
          <w:rFonts w:hint="eastAsia" w:ascii="仿宋" w:hAnsi="仿宋" w:eastAsia="仿宋" w:cs="仿宋"/>
          <w:color w:val="000000" w:themeColor="text1"/>
          <w:spacing w:val="7"/>
          <w:kern w:val="2"/>
          <w:sz w:val="30"/>
          <w:szCs w:val="30"/>
          <w:u w:val="none"/>
          <w:lang w:val="en-US" w:eastAsia="zh-CN" w:bidi="ar-SA"/>
          <w14:textFill>
            <w14:solidFill>
              <w14:schemeClr w14:val="tx1"/>
            </w14:solidFill>
          </w14:textFill>
        </w:rPr>
        <w:t>能力有待提升；制约学校发展的深层次体制机制问题有待进一步破解，管理服务和现代化治理体系有待进一步完善等。以上这些来自学校内部的深层次</w:t>
      </w:r>
      <w:r>
        <w:rPr>
          <w:rFonts w:hint="eastAsia" w:ascii="仿宋" w:hAnsi="仿宋" w:eastAsia="仿宋" w:cs="仿宋"/>
          <w:color w:val="0000FF"/>
          <w:spacing w:val="7"/>
          <w:kern w:val="2"/>
          <w:sz w:val="30"/>
          <w:szCs w:val="30"/>
          <w:u w:val="none"/>
          <w:lang w:val="en-US" w:eastAsia="zh-CN" w:bidi="ar-SA"/>
        </w:rPr>
        <w:t>发展问题</w:t>
      </w:r>
      <w:r>
        <w:rPr>
          <w:rFonts w:hint="eastAsia" w:ascii="仿宋" w:hAnsi="仿宋" w:eastAsia="仿宋" w:cs="仿宋"/>
          <w:color w:val="000000" w:themeColor="text1"/>
          <w:spacing w:val="7"/>
          <w:kern w:val="2"/>
          <w:sz w:val="30"/>
          <w:szCs w:val="30"/>
          <w:u w:val="none"/>
          <w:lang w:val="en-US" w:eastAsia="zh-CN" w:bidi="ar-SA"/>
          <w14:textFill>
            <w14:solidFill>
              <w14:schemeClr w14:val="tx1"/>
            </w14:solidFill>
          </w14:textFill>
        </w:rPr>
        <w:t>都需要在“十四五”时期加以重点解决。</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602" w:firstLineChars="200"/>
        <w:jc w:val="both"/>
        <w:textAlignment w:val="auto"/>
        <w:outlineLvl w:val="0"/>
        <w:rPr>
          <w:rFonts w:hint="eastAsia" w:ascii="仿宋" w:hAnsi="仿宋" w:eastAsia="仿宋" w:cs="仿宋"/>
          <w:b/>
          <w:bCs/>
          <w:color w:val="000000" w:themeColor="text1"/>
          <w:sz w:val="30"/>
          <w:szCs w:val="30"/>
          <w:u w:val="none"/>
          <w:lang w:val="en-US" w:eastAsia="zh-CN"/>
          <w14:textFill>
            <w14:solidFill>
              <w14:schemeClr w14:val="tx1"/>
            </w14:solidFill>
          </w14:textFill>
        </w:rPr>
      </w:pPr>
      <w:bookmarkStart w:id="23" w:name="_Toc1415"/>
      <w:r>
        <w:rPr>
          <w:rFonts w:hint="eastAsia" w:ascii="仿宋" w:hAnsi="仿宋" w:eastAsia="仿宋" w:cs="仿宋"/>
          <w:b/>
          <w:bCs/>
          <w:color w:val="000000" w:themeColor="text1"/>
          <w:sz w:val="30"/>
          <w:szCs w:val="30"/>
          <w:u w:val="none"/>
          <w:lang w:val="en-US" w:eastAsia="zh-CN"/>
          <w14:textFill>
            <w14:solidFill>
              <w14:schemeClr w14:val="tx1"/>
            </w14:solidFill>
          </w14:textFill>
        </w:rPr>
        <w:t>三、“十四五”</w:t>
      </w:r>
      <w:r>
        <w:rPr>
          <w:rFonts w:hint="eastAsia" w:ascii="仿宋" w:hAnsi="仿宋" w:eastAsia="仿宋" w:cs="仿宋"/>
          <w:b/>
          <w:bCs/>
          <w:color w:val="0000FF"/>
          <w:sz w:val="30"/>
          <w:szCs w:val="30"/>
          <w:u w:val="none"/>
          <w:lang w:val="en-US" w:eastAsia="zh-CN"/>
        </w:rPr>
        <w:t>时期</w:t>
      </w:r>
      <w:r>
        <w:rPr>
          <w:rFonts w:hint="eastAsia" w:ascii="仿宋" w:hAnsi="仿宋" w:eastAsia="仿宋" w:cs="仿宋"/>
          <w:b/>
          <w:bCs/>
          <w:color w:val="000000" w:themeColor="text1"/>
          <w:sz w:val="30"/>
          <w:szCs w:val="30"/>
          <w:u w:val="none"/>
          <w:lang w:val="en-US" w:eastAsia="zh-CN"/>
          <w14:textFill>
            <w14:solidFill>
              <w14:schemeClr w14:val="tx1"/>
            </w14:solidFill>
          </w14:textFill>
        </w:rPr>
        <w:t>学校发展的指导思想、发展定位、发展思路、发展目标</w:t>
      </w:r>
      <w:bookmarkEnd w:id="23"/>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628" w:firstLineChars="200"/>
        <w:jc w:val="both"/>
        <w:textAlignment w:val="auto"/>
        <w:rPr>
          <w:rFonts w:hint="eastAsia" w:ascii="仿宋" w:hAnsi="仿宋" w:eastAsia="仿宋" w:cs="仿宋"/>
          <w:color w:val="000000" w:themeColor="text1"/>
          <w:sz w:val="30"/>
          <w:szCs w:val="30"/>
          <w:u w:val="none"/>
          <w:lang w:val="en-US" w:eastAsia="zh-CN"/>
          <w14:textFill>
            <w14:solidFill>
              <w14:schemeClr w14:val="tx1"/>
            </w14:solidFill>
          </w14:textFill>
        </w:rPr>
      </w:pPr>
      <w:r>
        <w:rPr>
          <w:rFonts w:hint="eastAsia" w:ascii="仿宋" w:hAnsi="仿宋" w:eastAsia="仿宋" w:cs="仿宋"/>
          <w:color w:val="000000" w:themeColor="text1"/>
          <w:spacing w:val="7"/>
          <w:kern w:val="2"/>
          <w:sz w:val="30"/>
          <w:szCs w:val="30"/>
          <w:u w:val="none"/>
          <w:lang w:val="en-US" w:eastAsia="zh-CN" w:bidi="ar-SA"/>
          <w14:textFill>
            <w14:solidFill>
              <w14:schemeClr w14:val="tx1"/>
            </w14:solidFill>
          </w14:textFill>
        </w:rPr>
        <w:t>在机遇和挑战面前，“十四五”</w:t>
      </w:r>
      <w:r>
        <w:rPr>
          <w:rFonts w:hint="eastAsia" w:ascii="仿宋" w:hAnsi="仿宋" w:eastAsia="仿宋" w:cs="仿宋"/>
          <w:color w:val="0000FF"/>
          <w:spacing w:val="7"/>
          <w:kern w:val="2"/>
          <w:sz w:val="30"/>
          <w:szCs w:val="30"/>
          <w:u w:val="none"/>
          <w:lang w:val="en-US" w:eastAsia="zh-CN" w:bidi="ar-SA"/>
        </w:rPr>
        <w:t>时期</w:t>
      </w:r>
      <w:r>
        <w:rPr>
          <w:rFonts w:hint="eastAsia" w:ascii="仿宋" w:hAnsi="仿宋" w:eastAsia="仿宋" w:cs="仿宋"/>
          <w:color w:val="000000" w:themeColor="text1"/>
          <w:spacing w:val="7"/>
          <w:kern w:val="2"/>
          <w:sz w:val="30"/>
          <w:szCs w:val="30"/>
          <w:u w:val="none"/>
          <w:lang w:val="en-US" w:eastAsia="zh-CN" w:bidi="ar-SA"/>
          <w14:textFill>
            <w14:solidFill>
              <w14:schemeClr w14:val="tx1"/>
            </w14:solidFill>
          </w14:textFill>
        </w:rPr>
        <w:t>我们必须准确地把握国内外高等教育改革发展</w:t>
      </w:r>
      <w:r>
        <w:rPr>
          <w:rFonts w:hint="eastAsia" w:ascii="仿宋" w:hAnsi="仿宋" w:eastAsia="仿宋" w:cs="仿宋"/>
          <w:color w:val="0000FF"/>
          <w:spacing w:val="7"/>
          <w:kern w:val="2"/>
          <w:sz w:val="30"/>
          <w:szCs w:val="30"/>
          <w:u w:val="none"/>
          <w:lang w:val="en-US" w:eastAsia="zh-CN" w:bidi="ar-SA"/>
        </w:rPr>
        <w:t>形势</w:t>
      </w:r>
      <w:r>
        <w:rPr>
          <w:rFonts w:hint="eastAsia" w:ascii="仿宋" w:hAnsi="仿宋" w:eastAsia="仿宋" w:cs="仿宋"/>
          <w:color w:val="000000" w:themeColor="text1"/>
          <w:spacing w:val="7"/>
          <w:kern w:val="2"/>
          <w:sz w:val="30"/>
          <w:szCs w:val="30"/>
          <w:u w:val="none"/>
          <w:lang w:val="en-US" w:eastAsia="zh-CN" w:bidi="ar-SA"/>
          <w14:textFill>
            <w14:solidFill>
              <w14:schemeClr w14:val="tx1"/>
            </w14:solidFill>
          </w14:textFill>
        </w:rPr>
        <w:t>，遵循高等教育发展的基本规律，坚定应用型办学定位，增强超前意识、赶超意识、创新意识，以高度的事业心和强烈的使命感，</w:t>
      </w:r>
      <w:r>
        <w:rPr>
          <w:rFonts w:hint="eastAsia" w:ascii="仿宋" w:hAnsi="仿宋" w:eastAsia="仿宋" w:cs="仿宋"/>
          <w:color w:val="0000FF"/>
          <w:spacing w:val="7"/>
          <w:sz w:val="30"/>
          <w:szCs w:val="30"/>
        </w:rPr>
        <w:t>秉承新理念</w:t>
      </w:r>
      <w:r>
        <w:rPr>
          <w:rFonts w:hint="eastAsia" w:ascii="仿宋" w:hAnsi="仿宋" w:eastAsia="仿宋" w:cs="仿宋"/>
          <w:color w:val="000000" w:themeColor="text1"/>
          <w:spacing w:val="7"/>
          <w:kern w:val="2"/>
          <w:sz w:val="30"/>
          <w:szCs w:val="30"/>
          <w:u w:val="none"/>
          <w:lang w:val="en-US" w:eastAsia="zh-CN" w:bidi="ar-SA"/>
          <w14:textFill>
            <w14:solidFill>
              <w14:schemeClr w14:val="tx1"/>
            </w14:solidFill>
          </w14:textFill>
        </w:rPr>
        <w:t>，谋求新发展，开创新局面，坚定不移地加快学校改革发展步伐，持之以恒地推进特色鲜明的应用型本科大学建设进程。</w:t>
      </w:r>
    </w:p>
    <w:p>
      <w:pPr>
        <w:keepNext w:val="0"/>
        <w:keepLines w:val="0"/>
        <w:pageBreakBefore w:val="0"/>
        <w:numPr>
          <w:ilvl w:val="0"/>
          <w:numId w:val="0"/>
        </w:numPr>
        <w:kinsoku/>
        <w:wordWrap/>
        <w:overflowPunct/>
        <w:topLinePunct w:val="0"/>
        <w:autoSpaceDE/>
        <w:autoSpaceDN/>
        <w:bidi w:val="0"/>
        <w:adjustRightInd/>
        <w:snapToGrid/>
        <w:spacing w:line="520" w:lineRule="exact"/>
        <w:ind w:left="0" w:leftChars="0" w:firstLine="602" w:firstLineChars="200"/>
        <w:jc w:val="both"/>
        <w:textAlignment w:val="auto"/>
        <w:outlineLvl w:val="1"/>
        <w:rPr>
          <w:rFonts w:hint="eastAsia" w:ascii="仿宋" w:hAnsi="仿宋" w:eastAsia="仿宋" w:cs="仿宋"/>
          <w:b/>
          <w:bCs/>
          <w:color w:val="000000" w:themeColor="text1"/>
          <w:sz w:val="30"/>
          <w:szCs w:val="30"/>
          <w:u w:val="none"/>
          <w:lang w:val="en-US" w:eastAsia="zh-CN"/>
          <w14:textFill>
            <w14:solidFill>
              <w14:schemeClr w14:val="tx1"/>
            </w14:solidFill>
          </w14:textFill>
        </w:rPr>
      </w:pPr>
      <w:bookmarkStart w:id="24" w:name="_Toc9984"/>
      <w:r>
        <w:rPr>
          <w:rFonts w:hint="eastAsia" w:ascii="仿宋" w:hAnsi="仿宋" w:eastAsia="仿宋" w:cs="仿宋"/>
          <w:b/>
          <w:bCs/>
          <w:color w:val="000000" w:themeColor="text1"/>
          <w:sz w:val="30"/>
          <w:szCs w:val="30"/>
          <w:u w:val="none"/>
          <w:lang w:val="en-US" w:eastAsia="zh-CN"/>
          <w14:textFill>
            <w14:solidFill>
              <w14:schemeClr w14:val="tx1"/>
            </w14:solidFill>
          </w14:textFill>
        </w:rPr>
        <w:t>（一）指导思想</w:t>
      </w:r>
      <w:bookmarkEnd w:id="24"/>
      <w:r>
        <w:rPr>
          <w:rFonts w:hint="eastAsia" w:ascii="仿宋" w:hAnsi="仿宋" w:eastAsia="仿宋" w:cs="仿宋"/>
          <w:b/>
          <w:bCs/>
          <w:color w:val="000000" w:themeColor="text1"/>
          <w:sz w:val="30"/>
          <w:szCs w:val="30"/>
          <w:u w:val="none"/>
          <w:lang w:val="en-US" w:eastAsia="zh-CN"/>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napToGrid/>
        <w:spacing w:line="520" w:lineRule="exact"/>
        <w:ind w:firstLine="600" w:firstLineChars="200"/>
        <w:textAlignment w:val="auto"/>
        <w:rPr>
          <w:rFonts w:ascii="仿宋" w:hAnsi="仿宋" w:eastAsia="仿宋" w:cs="仿宋"/>
          <w:color w:val="FF0000"/>
          <w:sz w:val="30"/>
          <w:szCs w:val="30"/>
        </w:rPr>
      </w:pPr>
      <w:r>
        <w:rPr>
          <w:rFonts w:hint="eastAsia" w:ascii="仿宋" w:hAnsi="仿宋" w:eastAsia="仿宋" w:cs="仿宋"/>
          <w:color w:val="FF0000"/>
          <w:sz w:val="30"/>
          <w:szCs w:val="30"/>
        </w:rPr>
        <w:t>以习近平新时代中国特色社会主义思想为指导，</w:t>
      </w:r>
      <w:r>
        <w:rPr>
          <w:rFonts w:hint="eastAsia" w:ascii="仿宋_GB2312" w:hAnsi="仿宋_GB2312" w:eastAsia="仿宋_GB2312" w:cs="仿宋_GB2312"/>
          <w:color w:val="FF0000"/>
          <w:sz w:val="30"/>
          <w:szCs w:val="30"/>
        </w:rPr>
        <w:t>贯彻落实党的十九大和十九届二中、三中、四中、五中全会精神，</w:t>
      </w:r>
      <w:r>
        <w:rPr>
          <w:rFonts w:hint="eastAsia" w:ascii="仿宋_GB2312" w:hAnsi="仿宋_GB2312" w:eastAsia="仿宋_GB2312" w:cs="仿宋_GB2312"/>
          <w:color w:val="FF0000"/>
          <w:sz w:val="30"/>
          <w:szCs w:val="30"/>
          <w:lang w:eastAsia="zh-CN"/>
        </w:rPr>
        <w:t>坚持社会主义办学方向，</w:t>
      </w:r>
      <w:r>
        <w:rPr>
          <w:rFonts w:hint="eastAsia" w:ascii="仿宋_GB2312" w:hAnsi="仿宋_GB2312" w:eastAsia="仿宋_GB2312" w:cs="仿宋_GB2312"/>
          <w:color w:val="FF0000"/>
          <w:sz w:val="30"/>
          <w:szCs w:val="30"/>
        </w:rPr>
        <w:t>全面贯彻党的教育方针</w:t>
      </w:r>
      <w:r>
        <w:rPr>
          <w:rFonts w:hint="eastAsia" w:ascii="仿宋_GB2312" w:hAnsi="仿宋_GB2312" w:eastAsia="仿宋_GB2312" w:cs="仿宋_GB2312"/>
          <w:color w:val="FF0000"/>
          <w:sz w:val="30"/>
          <w:szCs w:val="30"/>
          <w:lang w:val="zh-CN" w:bidi="zh-CN"/>
        </w:rPr>
        <w:t>，服务国家和区域经济社会发展战略，以推动高质</w:t>
      </w:r>
      <w:r>
        <w:rPr>
          <w:rFonts w:hint="eastAsia" w:ascii="仿宋_GB2312" w:hAnsi="仿宋_GB2312" w:eastAsia="仿宋_GB2312" w:cs="仿宋_GB2312"/>
          <w:color w:val="FF0000"/>
          <w:sz w:val="30"/>
          <w:szCs w:val="30"/>
        </w:rPr>
        <w:t>量发展为主题</w:t>
      </w:r>
      <w:r>
        <w:rPr>
          <w:rFonts w:hint="eastAsia" w:ascii="仿宋_GB2312" w:hAnsi="仿宋_GB2312" w:eastAsia="仿宋_GB2312" w:cs="仿宋_GB2312"/>
          <w:color w:val="FF0000"/>
          <w:sz w:val="30"/>
          <w:szCs w:val="30"/>
          <w:lang w:eastAsia="zh-CN"/>
        </w:rPr>
        <w:t>，</w:t>
      </w:r>
      <w:r>
        <w:rPr>
          <w:rFonts w:hint="eastAsia" w:ascii="仿宋_GB2312" w:hAnsi="仿宋_GB2312" w:eastAsia="仿宋_GB2312" w:cs="仿宋_GB2312"/>
          <w:color w:val="FF0000"/>
          <w:sz w:val="30"/>
          <w:szCs w:val="30"/>
          <w:lang w:val="zh-CN" w:bidi="zh-CN"/>
        </w:rPr>
        <w:t>以立德树人为根本，</w:t>
      </w:r>
      <w:r>
        <w:rPr>
          <w:rFonts w:hint="eastAsia" w:ascii="仿宋" w:hAnsi="仿宋" w:eastAsia="仿宋" w:cs="仿宋"/>
          <w:color w:val="FF0000"/>
          <w:sz w:val="30"/>
          <w:szCs w:val="30"/>
        </w:rPr>
        <w:t>以强农兴农为己任</w:t>
      </w:r>
      <w:r>
        <w:rPr>
          <w:rFonts w:hint="eastAsia" w:ascii="仿宋_GB2312" w:hAnsi="仿宋_GB2312" w:eastAsia="仿宋_GB2312" w:cs="仿宋_GB2312"/>
          <w:color w:val="FF0000"/>
          <w:sz w:val="30"/>
          <w:szCs w:val="30"/>
        </w:rPr>
        <w:t>，以改革创新为动力，</w:t>
      </w:r>
      <w:r>
        <w:rPr>
          <w:rFonts w:hint="eastAsia" w:ascii="仿宋" w:hAnsi="仿宋" w:eastAsia="仿宋" w:cs="仿宋"/>
          <w:color w:val="FF0000"/>
          <w:sz w:val="30"/>
          <w:szCs w:val="30"/>
        </w:rPr>
        <w:t>加强党建和文化引领，实施特色发展、创新发展和人才强校战略，全面深化改革，改善办学条件，强化内涵建设，坚持地方应用型本科办学定位，坚守本色、擦亮底色、打造特色，加快聚集发展新动能，汇聚发展新优势，拓展办学新空间，为建设特色鲜明的应用型本科高校而努力奋斗。</w:t>
      </w:r>
    </w:p>
    <w:p>
      <w:pPr>
        <w:keepNext w:val="0"/>
        <w:keepLines w:val="0"/>
        <w:pageBreakBefore w:val="0"/>
        <w:numPr>
          <w:ilvl w:val="0"/>
          <w:numId w:val="0"/>
        </w:numPr>
        <w:kinsoku/>
        <w:wordWrap/>
        <w:overflowPunct/>
        <w:topLinePunct w:val="0"/>
        <w:autoSpaceDE/>
        <w:autoSpaceDN/>
        <w:bidi w:val="0"/>
        <w:adjustRightInd/>
        <w:snapToGrid/>
        <w:spacing w:line="520" w:lineRule="exact"/>
        <w:ind w:left="0" w:leftChars="0" w:firstLine="602" w:firstLineChars="200"/>
        <w:jc w:val="both"/>
        <w:textAlignment w:val="auto"/>
        <w:outlineLvl w:val="1"/>
        <w:rPr>
          <w:rFonts w:hint="eastAsia" w:ascii="仿宋" w:hAnsi="仿宋" w:eastAsia="仿宋" w:cs="仿宋"/>
          <w:b/>
          <w:bCs/>
          <w:color w:val="000000" w:themeColor="text1"/>
          <w:sz w:val="30"/>
          <w:szCs w:val="30"/>
          <w:u w:val="none"/>
          <w:lang w:val="en-US" w:eastAsia="zh-CN"/>
          <w14:textFill>
            <w14:solidFill>
              <w14:schemeClr w14:val="tx1"/>
            </w14:solidFill>
          </w14:textFill>
        </w:rPr>
      </w:pPr>
      <w:bookmarkStart w:id="25" w:name="_Toc27245"/>
      <w:r>
        <w:rPr>
          <w:rFonts w:hint="eastAsia" w:ascii="仿宋" w:hAnsi="仿宋" w:eastAsia="仿宋" w:cs="仿宋"/>
          <w:b/>
          <w:bCs/>
          <w:color w:val="000000" w:themeColor="text1"/>
          <w:sz w:val="30"/>
          <w:szCs w:val="30"/>
          <w:u w:val="none"/>
          <w:lang w:val="en-US" w:eastAsia="zh-CN"/>
          <w14:textFill>
            <w14:solidFill>
              <w14:schemeClr w14:val="tx1"/>
            </w14:solidFill>
          </w14:textFill>
        </w:rPr>
        <w:t>（二）发展定位</w:t>
      </w:r>
      <w:bookmarkEnd w:id="25"/>
    </w:p>
    <w:p>
      <w:pPr>
        <w:keepNext w:val="0"/>
        <w:keepLines w:val="0"/>
        <w:pageBreakBefore w:val="0"/>
        <w:kinsoku/>
        <w:wordWrap/>
        <w:overflowPunct/>
        <w:topLinePunct w:val="0"/>
        <w:autoSpaceDE/>
        <w:autoSpaceDN/>
        <w:bidi w:val="0"/>
        <w:adjustRightInd/>
        <w:snapToGrid/>
        <w:spacing w:line="520" w:lineRule="exact"/>
        <w:ind w:firstLine="602" w:firstLineChars="200"/>
        <w:textAlignment w:val="auto"/>
        <w:outlineLvl w:val="2"/>
        <w:rPr>
          <w:rFonts w:hint="eastAsia" w:ascii="仿宋" w:hAnsi="仿宋" w:eastAsia="仿宋" w:cs="仿宋"/>
          <w:color w:val="000000" w:themeColor="text1"/>
          <w:sz w:val="30"/>
          <w:szCs w:val="30"/>
          <w:u w:val="none"/>
          <w:lang w:eastAsia="zh-CN"/>
          <w14:textFill>
            <w14:solidFill>
              <w14:schemeClr w14:val="tx1"/>
            </w14:solidFill>
          </w14:textFill>
        </w:rPr>
      </w:pPr>
      <w:bookmarkStart w:id="26" w:name="_Toc30286"/>
      <w:r>
        <w:rPr>
          <w:rFonts w:hint="eastAsia" w:ascii="仿宋" w:hAnsi="仿宋" w:eastAsia="仿宋" w:cs="仿宋"/>
          <w:b/>
          <w:bCs/>
          <w:color w:val="000000" w:themeColor="text1"/>
          <w:sz w:val="30"/>
          <w:szCs w:val="30"/>
          <w:u w:val="none"/>
          <w:lang w:val="en-US" w:eastAsia="zh-CN"/>
          <w14:textFill>
            <w14:solidFill>
              <w14:schemeClr w14:val="tx1"/>
            </w14:solidFill>
          </w14:textFill>
        </w:rPr>
        <w:t>1.</w:t>
      </w:r>
      <w:r>
        <w:rPr>
          <w:rFonts w:hint="eastAsia" w:ascii="仿宋" w:hAnsi="仿宋" w:eastAsia="仿宋" w:cs="仿宋"/>
          <w:b/>
          <w:bCs/>
          <w:color w:val="000000" w:themeColor="text1"/>
          <w:sz w:val="30"/>
          <w:szCs w:val="30"/>
          <w:u w:val="none"/>
          <w14:textFill>
            <w14:solidFill>
              <w14:schemeClr w14:val="tx1"/>
            </w14:solidFill>
          </w14:textFill>
        </w:rPr>
        <w:t>办学</w:t>
      </w:r>
      <w:r>
        <w:rPr>
          <w:rFonts w:hint="eastAsia" w:ascii="仿宋" w:hAnsi="仿宋" w:eastAsia="仿宋" w:cs="仿宋"/>
          <w:b/>
          <w:bCs/>
          <w:color w:val="000000" w:themeColor="text1"/>
          <w:sz w:val="30"/>
          <w:szCs w:val="30"/>
          <w:u w:val="none"/>
          <w:lang w:eastAsia="zh-CN"/>
          <w14:textFill>
            <w14:solidFill>
              <w14:schemeClr w14:val="tx1"/>
            </w14:solidFill>
          </w14:textFill>
        </w:rPr>
        <w:t>总体</w:t>
      </w:r>
      <w:r>
        <w:rPr>
          <w:rFonts w:hint="eastAsia" w:ascii="仿宋" w:hAnsi="仿宋" w:eastAsia="仿宋" w:cs="仿宋"/>
          <w:b/>
          <w:bCs/>
          <w:color w:val="000000" w:themeColor="text1"/>
          <w:sz w:val="30"/>
          <w:szCs w:val="30"/>
          <w:u w:val="none"/>
          <w14:textFill>
            <w14:solidFill>
              <w14:schemeClr w14:val="tx1"/>
            </w14:solidFill>
          </w14:textFill>
        </w:rPr>
        <w:t>定位</w:t>
      </w:r>
      <w:r>
        <w:rPr>
          <w:rFonts w:hint="eastAsia" w:ascii="仿宋" w:hAnsi="仿宋" w:eastAsia="仿宋" w:cs="仿宋"/>
          <w:b/>
          <w:bCs/>
          <w:color w:val="000000" w:themeColor="text1"/>
          <w:sz w:val="30"/>
          <w:szCs w:val="30"/>
          <w:u w:val="none"/>
          <w:lang w:eastAsia="zh-CN"/>
          <w14:textFill>
            <w14:solidFill>
              <w14:schemeClr w14:val="tx1"/>
            </w14:solidFill>
          </w14:textFill>
        </w:rPr>
        <w:t>：</w:t>
      </w:r>
      <w:r>
        <w:rPr>
          <w:rFonts w:hint="eastAsia" w:ascii="仿宋" w:hAnsi="仿宋" w:eastAsia="仿宋" w:cs="仿宋"/>
          <w:color w:val="000000" w:themeColor="text1"/>
          <w:sz w:val="30"/>
          <w:szCs w:val="30"/>
          <w:u w:val="none"/>
          <w14:textFill>
            <w14:solidFill>
              <w14:schemeClr w14:val="tx1"/>
            </w14:solidFill>
          </w14:textFill>
        </w:rPr>
        <w:t>地方性、应用型</w:t>
      </w:r>
      <w:r>
        <w:rPr>
          <w:rFonts w:hint="eastAsia" w:ascii="仿宋" w:hAnsi="仿宋" w:eastAsia="仿宋" w:cs="仿宋"/>
          <w:color w:val="000000" w:themeColor="text1"/>
          <w:sz w:val="30"/>
          <w:szCs w:val="30"/>
          <w:u w:val="none"/>
          <w:lang w:eastAsia="zh-CN"/>
          <w14:textFill>
            <w14:solidFill>
              <w14:schemeClr w14:val="tx1"/>
            </w14:solidFill>
          </w14:textFill>
        </w:rPr>
        <w:t>（、</w:t>
      </w:r>
      <w:r>
        <w:rPr>
          <w:rFonts w:hint="eastAsia" w:ascii="仿宋" w:hAnsi="仿宋" w:eastAsia="仿宋" w:cs="仿宋"/>
          <w:b/>
          <w:bCs/>
          <w:color w:val="FF0000"/>
          <w:sz w:val="30"/>
          <w:szCs w:val="30"/>
          <w:u w:val="single"/>
          <w:lang w:eastAsia="zh-CN"/>
        </w:rPr>
        <w:t>行业性、开放式</w:t>
      </w:r>
      <w:r>
        <w:rPr>
          <w:rFonts w:hint="eastAsia" w:ascii="仿宋" w:hAnsi="仿宋" w:eastAsia="仿宋" w:cs="仿宋"/>
          <w:color w:val="FF0000"/>
          <w:sz w:val="30"/>
          <w:szCs w:val="30"/>
          <w:u w:val="single"/>
          <w:lang w:eastAsia="zh-CN"/>
        </w:rPr>
        <w:t>？或：开放式、服务型？或：</w:t>
      </w:r>
      <w:r>
        <w:rPr>
          <w:rFonts w:hint="eastAsia" w:ascii="仿宋" w:hAnsi="仿宋" w:eastAsia="仿宋" w:cs="仿宋"/>
          <w:b w:val="0"/>
          <w:bCs w:val="0"/>
          <w:color w:val="FF0000"/>
          <w:sz w:val="30"/>
          <w:szCs w:val="30"/>
          <w:u w:val="single"/>
          <w:lang w:eastAsia="zh-CN"/>
        </w:rPr>
        <w:t>行业</w:t>
      </w:r>
      <w:r>
        <w:rPr>
          <w:rFonts w:hint="eastAsia" w:ascii="仿宋" w:hAnsi="仿宋" w:eastAsia="仿宋" w:cs="仿宋"/>
          <w:color w:val="FF0000"/>
          <w:sz w:val="30"/>
          <w:szCs w:val="30"/>
          <w:u w:val="single"/>
          <w:lang w:eastAsia="zh-CN"/>
        </w:rPr>
        <w:t>性、服务型？</w:t>
      </w:r>
      <w:r>
        <w:rPr>
          <w:rFonts w:hint="eastAsia" w:ascii="仿宋" w:hAnsi="仿宋" w:eastAsia="仿宋" w:cs="仿宋"/>
          <w:color w:val="000000" w:themeColor="text1"/>
          <w:sz w:val="30"/>
          <w:szCs w:val="30"/>
          <w:u w:val="none"/>
          <w:lang w:eastAsia="zh-CN"/>
          <w14:textFill>
            <w14:solidFill>
              <w14:schemeClr w14:val="tx1"/>
            </w14:solidFill>
          </w14:textFill>
        </w:rPr>
        <w:t>）。</w:t>
      </w:r>
      <w:bookmarkEnd w:id="26"/>
    </w:p>
    <w:p>
      <w:pPr>
        <w:keepNext w:val="0"/>
        <w:keepLines w:val="0"/>
        <w:pageBreakBefore w:val="0"/>
        <w:kinsoku/>
        <w:wordWrap/>
        <w:overflowPunct/>
        <w:topLinePunct w:val="0"/>
        <w:autoSpaceDE/>
        <w:autoSpaceDN/>
        <w:bidi w:val="0"/>
        <w:adjustRightInd/>
        <w:snapToGrid/>
        <w:spacing w:line="520" w:lineRule="exact"/>
        <w:ind w:firstLine="602" w:firstLineChars="200"/>
        <w:textAlignment w:val="auto"/>
        <w:outlineLvl w:val="2"/>
        <w:rPr>
          <w:rFonts w:hint="eastAsia" w:ascii="仿宋" w:hAnsi="仿宋" w:eastAsia="仿宋" w:cs="仿宋"/>
          <w:color w:val="000000" w:themeColor="text1"/>
          <w:sz w:val="30"/>
          <w:szCs w:val="30"/>
          <w:u w:val="none"/>
          <w14:textFill>
            <w14:solidFill>
              <w14:schemeClr w14:val="tx1"/>
            </w14:solidFill>
          </w14:textFill>
        </w:rPr>
      </w:pPr>
      <w:bookmarkStart w:id="27" w:name="_Toc10015"/>
      <w:r>
        <w:rPr>
          <w:rFonts w:hint="eastAsia" w:ascii="仿宋" w:hAnsi="仿宋" w:eastAsia="仿宋" w:cs="仿宋"/>
          <w:b/>
          <w:bCs/>
          <w:color w:val="000000" w:themeColor="text1"/>
          <w:sz w:val="30"/>
          <w:szCs w:val="30"/>
          <w:u w:val="none"/>
          <w:lang w:val="en-US" w:eastAsia="zh-CN"/>
          <w14:textFill>
            <w14:solidFill>
              <w14:schemeClr w14:val="tx1"/>
            </w14:solidFill>
          </w14:textFill>
        </w:rPr>
        <w:t>2</w:t>
      </w:r>
      <w:r>
        <w:rPr>
          <w:rFonts w:hint="eastAsia" w:ascii="仿宋" w:hAnsi="仿宋" w:eastAsia="仿宋" w:cs="仿宋"/>
          <w:b/>
          <w:bCs/>
          <w:color w:val="000000" w:themeColor="text1"/>
          <w:sz w:val="30"/>
          <w:szCs w:val="30"/>
          <w:u w:val="none"/>
          <w14:textFill>
            <w14:solidFill>
              <w14:schemeClr w14:val="tx1"/>
            </w14:solidFill>
          </w14:textFill>
        </w:rPr>
        <w:t>.发展目标定位</w:t>
      </w:r>
      <w:r>
        <w:rPr>
          <w:rFonts w:hint="eastAsia" w:ascii="仿宋" w:hAnsi="仿宋" w:eastAsia="仿宋" w:cs="仿宋"/>
          <w:color w:val="000000" w:themeColor="text1"/>
          <w:sz w:val="30"/>
          <w:szCs w:val="30"/>
          <w:u w:val="none"/>
          <w:lang w:eastAsia="zh-CN"/>
          <w14:textFill>
            <w14:solidFill>
              <w14:schemeClr w14:val="tx1"/>
            </w14:solidFill>
          </w14:textFill>
        </w:rPr>
        <w:t>：</w:t>
      </w:r>
      <w:r>
        <w:rPr>
          <w:rFonts w:hint="eastAsia" w:ascii="仿宋" w:hAnsi="仿宋" w:eastAsia="仿宋" w:cs="仿宋"/>
          <w:color w:val="000000" w:themeColor="text1"/>
          <w:sz w:val="30"/>
          <w:szCs w:val="30"/>
          <w:u w:val="none"/>
          <w14:textFill>
            <w14:solidFill>
              <w14:schemeClr w14:val="tx1"/>
            </w14:solidFill>
          </w14:textFill>
        </w:rPr>
        <w:t>优势突出、特色鲜明</w:t>
      </w:r>
      <w:r>
        <w:rPr>
          <w:rFonts w:hint="eastAsia" w:ascii="仿宋" w:hAnsi="仿宋" w:eastAsia="仿宋" w:cs="仿宋"/>
          <w:color w:val="000000" w:themeColor="text1"/>
          <w:sz w:val="30"/>
          <w:szCs w:val="30"/>
          <w:u w:val="none"/>
          <w:lang w:eastAsia="zh-CN"/>
          <w14:textFill>
            <w14:solidFill>
              <w14:schemeClr w14:val="tx1"/>
            </w14:solidFill>
          </w14:textFill>
        </w:rPr>
        <w:t>、</w:t>
      </w:r>
      <w:r>
        <w:rPr>
          <w:rFonts w:hint="eastAsia" w:ascii="仿宋" w:hAnsi="仿宋" w:eastAsia="仿宋" w:cs="仿宋"/>
          <w:color w:val="FF0000"/>
          <w:sz w:val="30"/>
          <w:szCs w:val="30"/>
          <w:u w:val="none"/>
          <w:lang w:eastAsia="zh-CN"/>
        </w:rPr>
        <w:t>影响力强</w:t>
      </w:r>
      <w:r>
        <w:rPr>
          <w:rFonts w:hint="eastAsia" w:ascii="仿宋" w:hAnsi="仿宋" w:eastAsia="仿宋" w:cs="仿宋"/>
          <w:color w:val="000000" w:themeColor="text1"/>
          <w:sz w:val="30"/>
          <w:szCs w:val="30"/>
          <w:u w:val="none"/>
          <w:lang w:eastAsia="zh-CN"/>
          <w14:textFill>
            <w14:solidFill>
              <w14:schemeClr w14:val="tx1"/>
            </w14:solidFill>
          </w14:textFill>
        </w:rPr>
        <w:t>的农林类</w:t>
      </w:r>
      <w:r>
        <w:rPr>
          <w:rFonts w:hint="eastAsia" w:ascii="仿宋" w:hAnsi="仿宋" w:eastAsia="仿宋" w:cs="仿宋"/>
          <w:color w:val="FF0000"/>
          <w:sz w:val="30"/>
          <w:szCs w:val="30"/>
          <w:u w:val="none"/>
          <w:lang w:eastAsia="zh-CN"/>
        </w:rPr>
        <w:t>区域</w:t>
      </w:r>
      <w:r>
        <w:rPr>
          <w:rFonts w:hint="eastAsia" w:ascii="仿宋" w:hAnsi="仿宋" w:eastAsia="仿宋" w:cs="仿宋"/>
          <w:color w:val="000000" w:themeColor="text1"/>
          <w:sz w:val="30"/>
          <w:szCs w:val="30"/>
          <w:u w:val="none"/>
          <w:lang w:eastAsia="zh-CN"/>
          <w14:textFill>
            <w14:solidFill>
              <w14:schemeClr w14:val="tx1"/>
            </w14:solidFill>
          </w14:textFill>
        </w:rPr>
        <w:t>知名高校</w:t>
      </w:r>
      <w:r>
        <w:rPr>
          <w:rFonts w:hint="eastAsia" w:ascii="仿宋" w:hAnsi="仿宋" w:eastAsia="仿宋" w:cs="仿宋"/>
          <w:color w:val="000000" w:themeColor="text1"/>
          <w:sz w:val="30"/>
          <w:szCs w:val="30"/>
          <w:u w:val="none"/>
          <w14:textFill>
            <w14:solidFill>
              <w14:schemeClr w14:val="tx1"/>
            </w14:solidFill>
          </w14:textFill>
        </w:rPr>
        <w:t>。</w:t>
      </w:r>
      <w:bookmarkEnd w:id="27"/>
    </w:p>
    <w:p>
      <w:pPr>
        <w:keepNext w:val="0"/>
        <w:keepLines w:val="0"/>
        <w:pageBreakBefore w:val="0"/>
        <w:kinsoku/>
        <w:wordWrap/>
        <w:overflowPunct/>
        <w:topLinePunct w:val="0"/>
        <w:autoSpaceDE/>
        <w:autoSpaceDN/>
        <w:bidi w:val="0"/>
        <w:adjustRightInd/>
        <w:snapToGrid/>
        <w:spacing w:line="520" w:lineRule="exact"/>
        <w:ind w:firstLine="602" w:firstLineChars="200"/>
        <w:textAlignment w:val="auto"/>
        <w:outlineLvl w:val="2"/>
        <w:rPr>
          <w:rFonts w:hint="eastAsia" w:ascii="仿宋" w:hAnsi="仿宋" w:eastAsia="仿宋" w:cs="仿宋"/>
          <w:color w:val="000000" w:themeColor="text1"/>
          <w:sz w:val="30"/>
          <w:szCs w:val="30"/>
          <w:u w:val="none"/>
          <w14:textFill>
            <w14:solidFill>
              <w14:schemeClr w14:val="tx1"/>
            </w14:solidFill>
          </w14:textFill>
        </w:rPr>
      </w:pPr>
      <w:bookmarkStart w:id="28" w:name="_Toc29602"/>
      <w:bookmarkStart w:id="29" w:name="_Toc21119"/>
      <w:r>
        <w:rPr>
          <w:rFonts w:hint="eastAsia" w:ascii="仿宋" w:hAnsi="仿宋" w:eastAsia="仿宋" w:cs="仿宋"/>
          <w:b/>
          <w:bCs/>
          <w:color w:val="000000" w:themeColor="text1"/>
          <w:sz w:val="30"/>
          <w:szCs w:val="30"/>
          <w:u w:val="none"/>
          <w:lang w:val="en-US" w:eastAsia="zh-CN"/>
          <w14:textFill>
            <w14:solidFill>
              <w14:schemeClr w14:val="tx1"/>
            </w14:solidFill>
          </w14:textFill>
        </w:rPr>
        <w:t>3</w:t>
      </w:r>
      <w:r>
        <w:rPr>
          <w:rFonts w:hint="eastAsia" w:ascii="仿宋" w:hAnsi="仿宋" w:eastAsia="仿宋" w:cs="仿宋"/>
          <w:b/>
          <w:bCs/>
          <w:color w:val="000000" w:themeColor="text1"/>
          <w:sz w:val="30"/>
          <w:szCs w:val="30"/>
          <w:u w:val="none"/>
          <w14:textFill>
            <w14:solidFill>
              <w14:schemeClr w14:val="tx1"/>
            </w14:solidFill>
          </w14:textFill>
        </w:rPr>
        <w:t>.</w:t>
      </w:r>
      <w:bookmarkEnd w:id="28"/>
      <w:r>
        <w:rPr>
          <w:rFonts w:hint="eastAsia" w:ascii="仿宋" w:hAnsi="仿宋" w:eastAsia="仿宋" w:cs="仿宋"/>
          <w:b/>
          <w:bCs/>
          <w:color w:val="000000" w:themeColor="text1"/>
          <w:sz w:val="30"/>
          <w:szCs w:val="30"/>
          <w:u w:val="none"/>
          <w:lang w:eastAsia="zh-CN"/>
          <w14:textFill>
            <w14:solidFill>
              <w14:schemeClr w14:val="tx1"/>
            </w14:solidFill>
          </w14:textFill>
        </w:rPr>
        <w:t>办学</w:t>
      </w:r>
      <w:r>
        <w:rPr>
          <w:rFonts w:hint="eastAsia" w:ascii="仿宋" w:hAnsi="仿宋" w:eastAsia="仿宋" w:cs="仿宋"/>
          <w:b/>
          <w:bCs/>
          <w:color w:val="000000" w:themeColor="text1"/>
          <w:sz w:val="30"/>
          <w:szCs w:val="30"/>
          <w:u w:val="none"/>
          <w14:textFill>
            <w14:solidFill>
              <w14:schemeClr w14:val="tx1"/>
            </w14:solidFill>
          </w14:textFill>
        </w:rPr>
        <w:t>层次定位</w:t>
      </w:r>
      <w:r>
        <w:rPr>
          <w:rFonts w:hint="eastAsia" w:ascii="仿宋" w:hAnsi="仿宋" w:eastAsia="仿宋" w:cs="仿宋"/>
          <w:b/>
          <w:bCs/>
          <w:color w:val="000000" w:themeColor="text1"/>
          <w:sz w:val="30"/>
          <w:szCs w:val="30"/>
          <w:u w:val="none"/>
          <w:lang w:eastAsia="zh-CN"/>
          <w14:textFill>
            <w14:solidFill>
              <w14:schemeClr w14:val="tx1"/>
            </w14:solidFill>
          </w14:textFill>
        </w:rPr>
        <w:t>：</w:t>
      </w:r>
      <w:r>
        <w:rPr>
          <w:rFonts w:hint="eastAsia" w:ascii="仿宋" w:hAnsi="仿宋" w:eastAsia="仿宋" w:cs="仿宋"/>
          <w:color w:val="000000" w:themeColor="text1"/>
          <w:sz w:val="30"/>
          <w:szCs w:val="30"/>
          <w:u w:val="none"/>
          <w14:textFill>
            <w14:solidFill>
              <w14:schemeClr w14:val="tx1"/>
            </w14:solidFill>
          </w14:textFill>
        </w:rPr>
        <w:t>以</w:t>
      </w:r>
      <w:r>
        <w:rPr>
          <w:rFonts w:hint="eastAsia" w:ascii="仿宋" w:hAnsi="仿宋" w:eastAsia="仿宋" w:cs="仿宋"/>
          <w:color w:val="000000" w:themeColor="text1"/>
          <w:sz w:val="30"/>
          <w:szCs w:val="30"/>
          <w:u w:val="none"/>
          <w:lang w:eastAsia="zh-CN"/>
          <w14:textFill>
            <w14:solidFill>
              <w14:schemeClr w14:val="tx1"/>
            </w14:solidFill>
          </w14:textFill>
        </w:rPr>
        <w:t>普通</w:t>
      </w:r>
      <w:r>
        <w:rPr>
          <w:rFonts w:hint="eastAsia" w:ascii="仿宋" w:hAnsi="仿宋" w:eastAsia="仿宋" w:cs="仿宋"/>
          <w:color w:val="000000" w:themeColor="text1"/>
          <w:sz w:val="30"/>
          <w:szCs w:val="30"/>
          <w:u w:val="none"/>
          <w14:textFill>
            <w14:solidFill>
              <w14:schemeClr w14:val="tx1"/>
            </w14:solidFill>
          </w14:textFill>
        </w:rPr>
        <w:t>本科教育为主，</w:t>
      </w:r>
      <w:r>
        <w:rPr>
          <w:rFonts w:hint="eastAsia" w:ascii="仿宋" w:hAnsi="仿宋" w:eastAsia="仿宋" w:cs="仿宋"/>
          <w:color w:val="FF0000"/>
          <w:sz w:val="30"/>
          <w:szCs w:val="30"/>
          <w:u w:val="none"/>
          <w:lang w:eastAsia="zh-CN"/>
        </w:rPr>
        <w:t>适度兼顾</w:t>
      </w:r>
      <w:r>
        <w:rPr>
          <w:rFonts w:hint="eastAsia" w:ascii="仿宋" w:hAnsi="仿宋" w:eastAsia="仿宋" w:cs="仿宋"/>
          <w:color w:val="000000" w:themeColor="text1"/>
          <w:sz w:val="30"/>
          <w:szCs w:val="30"/>
          <w:u w:val="none"/>
          <w14:textFill>
            <w14:solidFill>
              <w14:schemeClr w14:val="tx1"/>
            </w14:solidFill>
          </w14:textFill>
        </w:rPr>
        <w:t>专科教育，</w:t>
      </w:r>
      <w:r>
        <w:rPr>
          <w:rFonts w:hint="eastAsia" w:ascii="仿宋" w:hAnsi="仿宋" w:eastAsia="仿宋" w:cs="仿宋"/>
          <w:color w:val="000000" w:themeColor="text1"/>
          <w:sz w:val="30"/>
          <w:szCs w:val="30"/>
          <w:u w:val="none"/>
          <w:lang w:eastAsia="zh-CN"/>
          <w14:textFill>
            <w14:solidFill>
              <w14:schemeClr w14:val="tx1"/>
            </w14:solidFill>
          </w14:textFill>
        </w:rPr>
        <w:t>持续</w:t>
      </w:r>
      <w:r>
        <w:rPr>
          <w:rFonts w:hint="eastAsia" w:ascii="仿宋" w:hAnsi="仿宋" w:eastAsia="仿宋" w:cs="仿宋"/>
          <w:color w:val="000000" w:themeColor="text1"/>
          <w:sz w:val="30"/>
          <w:szCs w:val="30"/>
          <w:u w:val="none"/>
          <w14:textFill>
            <w14:solidFill>
              <w14:schemeClr w14:val="tx1"/>
            </w14:solidFill>
          </w14:textFill>
        </w:rPr>
        <w:t>发展继续教育，</w:t>
      </w:r>
      <w:r>
        <w:rPr>
          <w:rFonts w:hint="eastAsia" w:ascii="仿宋" w:hAnsi="仿宋" w:eastAsia="仿宋" w:cs="仿宋"/>
          <w:color w:val="0000FF"/>
          <w:sz w:val="30"/>
          <w:szCs w:val="30"/>
          <w:u w:val="none"/>
          <w:lang w:eastAsia="zh-CN"/>
        </w:rPr>
        <w:t>适时</w:t>
      </w:r>
      <w:r>
        <w:rPr>
          <w:rFonts w:hint="eastAsia" w:ascii="仿宋" w:hAnsi="仿宋" w:eastAsia="仿宋" w:cs="仿宋"/>
          <w:color w:val="0000FF"/>
          <w:sz w:val="30"/>
          <w:szCs w:val="30"/>
          <w:u w:val="none"/>
        </w:rPr>
        <w:t>申</w:t>
      </w:r>
      <w:r>
        <w:rPr>
          <w:rFonts w:hint="eastAsia" w:ascii="仿宋" w:hAnsi="仿宋" w:eastAsia="仿宋" w:cs="仿宋"/>
          <w:color w:val="0000FF"/>
          <w:sz w:val="30"/>
          <w:szCs w:val="30"/>
          <w:u w:val="none"/>
          <w:lang w:eastAsia="zh-CN"/>
        </w:rPr>
        <w:t>办</w:t>
      </w:r>
      <w:r>
        <w:rPr>
          <w:rFonts w:hint="eastAsia" w:ascii="仿宋" w:hAnsi="仿宋" w:eastAsia="仿宋" w:cs="仿宋"/>
          <w:color w:val="auto"/>
          <w:sz w:val="30"/>
          <w:szCs w:val="30"/>
          <w:u w:val="none"/>
        </w:rPr>
        <w:t>研究生教育。</w:t>
      </w:r>
      <w:bookmarkEnd w:id="29"/>
    </w:p>
    <w:p>
      <w:pPr>
        <w:keepNext w:val="0"/>
        <w:keepLines w:val="0"/>
        <w:pageBreakBefore w:val="0"/>
        <w:kinsoku/>
        <w:wordWrap/>
        <w:overflowPunct/>
        <w:topLinePunct w:val="0"/>
        <w:autoSpaceDE/>
        <w:autoSpaceDN/>
        <w:bidi w:val="0"/>
        <w:adjustRightInd/>
        <w:snapToGrid/>
        <w:spacing w:line="520" w:lineRule="exact"/>
        <w:ind w:firstLine="602" w:firstLineChars="200"/>
        <w:textAlignment w:val="auto"/>
        <w:outlineLvl w:val="2"/>
        <w:rPr>
          <w:rFonts w:hint="eastAsia" w:ascii="仿宋" w:hAnsi="仿宋" w:eastAsia="仿宋" w:cs="仿宋"/>
          <w:b w:val="0"/>
          <w:bCs w:val="0"/>
          <w:color w:val="000000" w:themeColor="text1"/>
          <w:sz w:val="30"/>
          <w:szCs w:val="30"/>
          <w:u w:val="none"/>
          <w:lang w:val="en-US" w:eastAsia="zh-CN"/>
          <w14:textFill>
            <w14:solidFill>
              <w14:schemeClr w14:val="tx1"/>
            </w14:solidFill>
          </w14:textFill>
        </w:rPr>
      </w:pPr>
      <w:bookmarkStart w:id="30" w:name="_Toc9563"/>
      <w:r>
        <w:rPr>
          <w:rFonts w:hint="eastAsia" w:ascii="仿宋" w:hAnsi="仿宋" w:eastAsia="仿宋" w:cs="仿宋"/>
          <w:b/>
          <w:bCs/>
          <w:color w:val="000000" w:themeColor="text1"/>
          <w:sz w:val="30"/>
          <w:szCs w:val="30"/>
          <w:u w:val="none"/>
          <w:lang w:val="en-US" w:eastAsia="zh-CN"/>
          <w14:textFill>
            <w14:solidFill>
              <w14:schemeClr w14:val="tx1"/>
            </w14:solidFill>
          </w14:textFill>
        </w:rPr>
        <w:t>4</w:t>
      </w:r>
      <w:r>
        <w:rPr>
          <w:rFonts w:hint="eastAsia" w:ascii="仿宋" w:hAnsi="仿宋" w:eastAsia="仿宋" w:cs="仿宋"/>
          <w:b/>
          <w:bCs/>
          <w:color w:val="000000" w:themeColor="text1"/>
          <w:sz w:val="30"/>
          <w:szCs w:val="30"/>
          <w:u w:val="none"/>
          <w14:textFill>
            <w14:solidFill>
              <w14:schemeClr w14:val="tx1"/>
            </w14:solidFill>
          </w14:textFill>
        </w:rPr>
        <w:t>.培养目标定位</w:t>
      </w:r>
      <w:r>
        <w:rPr>
          <w:rFonts w:hint="eastAsia" w:ascii="仿宋" w:hAnsi="仿宋" w:eastAsia="仿宋" w:cs="仿宋"/>
          <w:b/>
          <w:bCs/>
          <w:color w:val="000000" w:themeColor="text1"/>
          <w:sz w:val="30"/>
          <w:szCs w:val="30"/>
          <w:u w:val="none"/>
          <w:lang w:eastAsia="zh-CN"/>
          <w14:textFill>
            <w14:solidFill>
              <w14:schemeClr w14:val="tx1"/>
            </w14:solidFill>
          </w14:textFill>
        </w:rPr>
        <w:t>：</w:t>
      </w:r>
      <w:r>
        <w:rPr>
          <w:rFonts w:hint="eastAsia" w:ascii="仿宋" w:hAnsi="仿宋" w:eastAsia="仿宋" w:cs="仿宋"/>
          <w:b w:val="0"/>
          <w:bCs w:val="0"/>
          <w:color w:val="000000" w:themeColor="text1"/>
          <w:sz w:val="30"/>
          <w:szCs w:val="30"/>
          <w:u w:val="none"/>
          <w:lang w:val="en-US" w:eastAsia="zh-CN"/>
          <w14:textFill>
            <w14:solidFill>
              <w14:schemeClr w14:val="tx1"/>
            </w14:solidFill>
          </w14:textFill>
        </w:rPr>
        <w:t>培养立志服务“三农”，有一定理论基础、掌握新技术、具有较强实践能力、创新创业意识和责任意识,德智体美劳全面发展的本科层次高素质应用型人才。</w:t>
      </w:r>
      <w:bookmarkEnd w:id="30"/>
    </w:p>
    <w:p>
      <w:pPr>
        <w:keepNext w:val="0"/>
        <w:keepLines w:val="0"/>
        <w:pageBreakBefore w:val="0"/>
        <w:kinsoku/>
        <w:wordWrap/>
        <w:overflowPunct/>
        <w:topLinePunct w:val="0"/>
        <w:autoSpaceDE/>
        <w:autoSpaceDN/>
        <w:bidi w:val="0"/>
        <w:adjustRightInd/>
        <w:snapToGrid/>
        <w:spacing w:line="520" w:lineRule="exact"/>
        <w:ind w:firstLine="602" w:firstLineChars="200"/>
        <w:textAlignment w:val="auto"/>
        <w:outlineLvl w:val="2"/>
        <w:rPr>
          <w:rFonts w:hint="eastAsia" w:ascii="仿宋" w:hAnsi="仿宋" w:eastAsia="仿宋" w:cs="仿宋"/>
          <w:b w:val="0"/>
          <w:bCs w:val="0"/>
          <w:color w:val="000000" w:themeColor="text1"/>
          <w:sz w:val="30"/>
          <w:szCs w:val="30"/>
          <w:u w:val="none"/>
          <w:lang w:eastAsia="zh-CN"/>
          <w14:textFill>
            <w14:solidFill>
              <w14:schemeClr w14:val="tx1"/>
            </w14:solidFill>
          </w14:textFill>
        </w:rPr>
      </w:pPr>
      <w:bookmarkStart w:id="31" w:name="_Toc17022"/>
      <w:r>
        <w:rPr>
          <w:rFonts w:hint="eastAsia" w:ascii="仿宋" w:hAnsi="仿宋" w:eastAsia="仿宋" w:cs="仿宋"/>
          <w:b/>
          <w:bCs/>
          <w:color w:val="000000" w:themeColor="text1"/>
          <w:sz w:val="30"/>
          <w:szCs w:val="30"/>
          <w:u w:val="none"/>
          <w:lang w:val="en-US" w:eastAsia="zh-CN"/>
          <w14:textFill>
            <w14:solidFill>
              <w14:schemeClr w14:val="tx1"/>
            </w14:solidFill>
          </w14:textFill>
        </w:rPr>
        <w:t>5</w:t>
      </w:r>
      <w:r>
        <w:rPr>
          <w:rFonts w:hint="eastAsia" w:ascii="仿宋" w:hAnsi="仿宋" w:eastAsia="仿宋" w:cs="仿宋"/>
          <w:b/>
          <w:bCs/>
          <w:color w:val="000000" w:themeColor="text1"/>
          <w:sz w:val="30"/>
          <w:szCs w:val="30"/>
          <w:u w:val="none"/>
          <w:lang w:eastAsia="zh-CN"/>
          <w14:textFill>
            <w14:solidFill>
              <w14:schemeClr w14:val="tx1"/>
            </w14:solidFill>
          </w14:textFill>
        </w:rPr>
        <w:t>.学科专业定位</w:t>
      </w:r>
      <w:r>
        <w:rPr>
          <w:rFonts w:hint="eastAsia" w:ascii="仿宋" w:hAnsi="仿宋" w:eastAsia="仿宋" w:cs="仿宋"/>
          <w:b w:val="0"/>
          <w:bCs w:val="0"/>
          <w:color w:val="000000" w:themeColor="text1"/>
          <w:sz w:val="30"/>
          <w:szCs w:val="30"/>
          <w:u w:val="none"/>
          <w:lang w:eastAsia="zh-CN"/>
          <w14:textFill>
            <w14:solidFill>
              <w14:schemeClr w14:val="tx1"/>
            </w14:solidFill>
          </w14:textFill>
        </w:rPr>
        <w:t>：</w:t>
      </w:r>
      <w:r>
        <w:rPr>
          <w:rFonts w:hint="eastAsia" w:ascii="仿宋" w:hAnsi="仿宋" w:eastAsia="仿宋" w:cs="仿宋"/>
          <w:b w:val="0"/>
          <w:bCs w:val="0"/>
          <w:color w:val="000000" w:themeColor="text1"/>
          <w:sz w:val="30"/>
          <w:szCs w:val="30"/>
          <w:u w:val="none"/>
          <w:lang w:val="en-US" w:eastAsia="zh-CN"/>
          <w14:textFill>
            <w14:solidFill>
              <w14:schemeClr w14:val="tx1"/>
            </w14:solidFill>
          </w14:textFill>
        </w:rPr>
        <w:t>以“四新”（新农科、新工科、新文科、新医科）建设为导向，突出农林学科优势特色，构建以</w:t>
      </w:r>
      <w:r>
        <w:rPr>
          <w:rFonts w:hint="eastAsia" w:ascii="仿宋" w:hAnsi="仿宋" w:eastAsia="仿宋" w:cs="仿宋"/>
          <w:b w:val="0"/>
          <w:bCs w:val="0"/>
          <w:color w:val="FF0000"/>
          <w:sz w:val="30"/>
          <w:szCs w:val="30"/>
          <w:u w:val="none"/>
          <w:lang w:val="en-US" w:eastAsia="zh-CN"/>
        </w:rPr>
        <w:t>应用型专业为主体</w:t>
      </w:r>
      <w:r>
        <w:rPr>
          <w:rFonts w:hint="eastAsia" w:ascii="仿宋" w:hAnsi="仿宋" w:eastAsia="仿宋" w:cs="仿宋"/>
          <w:b w:val="0"/>
          <w:bCs w:val="0"/>
          <w:color w:val="000000" w:themeColor="text1"/>
          <w:sz w:val="30"/>
          <w:szCs w:val="30"/>
          <w:u w:val="none"/>
          <w:lang w:val="en-US" w:eastAsia="zh-CN"/>
          <w14:textFill>
            <w14:solidFill>
              <w14:schemeClr w14:val="tx1"/>
            </w14:solidFill>
          </w14:textFill>
        </w:rPr>
        <w:t>，农、工、管、文、理、艺术等多学科交叉融合、协调发展的学科专业体系。</w:t>
      </w:r>
      <w:bookmarkEnd w:id="31"/>
      <w:r>
        <w:rPr>
          <w:rFonts w:hint="eastAsia" w:ascii="仿宋" w:hAnsi="仿宋" w:eastAsia="仿宋" w:cs="仿宋"/>
          <w:b w:val="0"/>
          <w:bCs w:val="0"/>
          <w:color w:val="000000" w:themeColor="text1"/>
          <w:sz w:val="30"/>
          <w:szCs w:val="30"/>
          <w:u w:val="none"/>
          <w:lang w:val="en-US" w:eastAsia="zh-CN"/>
          <w14:textFill>
            <w14:solidFill>
              <w14:schemeClr w14:val="tx1"/>
            </w14:solidFill>
          </w14:textFill>
        </w:rPr>
        <w:t xml:space="preserve"> </w:t>
      </w:r>
      <w:r>
        <w:rPr>
          <w:rFonts w:hint="eastAsia" w:ascii="仿宋" w:hAnsi="仿宋" w:eastAsia="仿宋" w:cs="仿宋"/>
          <w:b w:val="0"/>
          <w:bCs w:val="0"/>
          <w:color w:val="000000" w:themeColor="text1"/>
          <w:sz w:val="30"/>
          <w:szCs w:val="30"/>
          <w:u w:val="none"/>
          <w:lang w:eastAsia="zh-CN"/>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napToGrid/>
        <w:spacing w:line="520" w:lineRule="exact"/>
        <w:ind w:firstLine="602" w:firstLineChars="200"/>
        <w:textAlignment w:val="auto"/>
        <w:outlineLvl w:val="2"/>
        <w:rPr>
          <w:rFonts w:hint="eastAsia" w:ascii="仿宋" w:hAnsi="仿宋" w:eastAsia="仿宋" w:cs="仿宋"/>
          <w:b w:val="0"/>
          <w:bCs w:val="0"/>
          <w:color w:val="000000" w:themeColor="text1"/>
          <w:sz w:val="30"/>
          <w:szCs w:val="30"/>
          <w:u w:val="none"/>
          <w:lang w:eastAsia="zh-CN"/>
          <w14:textFill>
            <w14:solidFill>
              <w14:schemeClr w14:val="tx1"/>
            </w14:solidFill>
          </w14:textFill>
        </w:rPr>
      </w:pPr>
      <w:bookmarkStart w:id="32" w:name="_Toc11230"/>
      <w:r>
        <w:rPr>
          <w:rFonts w:hint="eastAsia" w:ascii="仿宋" w:hAnsi="仿宋" w:eastAsia="仿宋" w:cs="仿宋"/>
          <w:b/>
          <w:bCs/>
          <w:color w:val="000000" w:themeColor="text1"/>
          <w:sz w:val="30"/>
          <w:szCs w:val="30"/>
          <w:u w:val="none"/>
          <w:lang w:val="en-US" w:eastAsia="zh-CN"/>
          <w14:textFill>
            <w14:solidFill>
              <w14:schemeClr w14:val="tx1"/>
            </w14:solidFill>
          </w14:textFill>
        </w:rPr>
        <w:t>6</w:t>
      </w:r>
      <w:r>
        <w:rPr>
          <w:rFonts w:hint="eastAsia" w:ascii="仿宋" w:hAnsi="仿宋" w:eastAsia="仿宋" w:cs="仿宋"/>
          <w:b/>
          <w:bCs/>
          <w:color w:val="000000" w:themeColor="text1"/>
          <w:sz w:val="30"/>
          <w:szCs w:val="30"/>
          <w:u w:val="none"/>
          <w14:textFill>
            <w14:solidFill>
              <w14:schemeClr w14:val="tx1"/>
            </w14:solidFill>
          </w14:textFill>
        </w:rPr>
        <w:t>.服务面向定位</w:t>
      </w:r>
      <w:r>
        <w:rPr>
          <w:rFonts w:hint="eastAsia" w:ascii="仿宋" w:hAnsi="仿宋" w:eastAsia="仿宋" w:cs="仿宋"/>
          <w:b/>
          <w:bCs/>
          <w:color w:val="000000" w:themeColor="text1"/>
          <w:sz w:val="30"/>
          <w:szCs w:val="30"/>
          <w:u w:val="none"/>
          <w:lang w:eastAsia="zh-CN"/>
          <w14:textFill>
            <w14:solidFill>
              <w14:schemeClr w14:val="tx1"/>
            </w14:solidFill>
          </w14:textFill>
        </w:rPr>
        <w:t>：</w:t>
      </w:r>
      <w:r>
        <w:rPr>
          <w:rFonts w:hint="eastAsia" w:ascii="仿宋" w:hAnsi="仿宋" w:eastAsia="仿宋" w:cs="仿宋"/>
          <w:b w:val="0"/>
          <w:bCs w:val="0"/>
          <w:color w:val="FF0000"/>
          <w:sz w:val="30"/>
          <w:szCs w:val="30"/>
          <w:u w:val="none"/>
          <w:lang w:eastAsia="zh-CN"/>
        </w:rPr>
        <w:t>植根</w:t>
      </w:r>
      <w:r>
        <w:rPr>
          <w:rFonts w:hint="eastAsia" w:ascii="仿宋" w:hAnsi="仿宋" w:eastAsia="仿宋" w:cs="仿宋"/>
          <w:b w:val="0"/>
          <w:bCs w:val="0"/>
          <w:color w:val="FF0000"/>
          <w:sz w:val="30"/>
          <w:szCs w:val="30"/>
          <w:u w:val="none"/>
        </w:rPr>
        <w:t>信阳</w:t>
      </w:r>
      <w:r>
        <w:rPr>
          <w:rFonts w:hint="eastAsia" w:ascii="仿宋" w:hAnsi="仿宋" w:eastAsia="仿宋" w:cs="仿宋"/>
          <w:b w:val="0"/>
          <w:bCs w:val="0"/>
          <w:color w:val="FF0000"/>
          <w:sz w:val="30"/>
          <w:szCs w:val="30"/>
          <w:u w:val="none"/>
          <w:lang w:eastAsia="zh-CN"/>
        </w:rPr>
        <w:t>和大别山区，面向河南，辐射全国，</w:t>
      </w:r>
      <w:r>
        <w:rPr>
          <w:rFonts w:hint="eastAsia" w:ascii="仿宋" w:hAnsi="仿宋" w:eastAsia="仿宋" w:cs="仿宋"/>
          <w:b w:val="0"/>
          <w:bCs w:val="0"/>
          <w:color w:val="000000" w:themeColor="text1"/>
          <w:sz w:val="30"/>
          <w:szCs w:val="30"/>
          <w:u w:val="none"/>
          <w:lang w:eastAsia="zh-CN"/>
          <w14:textFill>
            <w14:solidFill>
              <w14:schemeClr w14:val="tx1"/>
            </w14:solidFill>
          </w14:textFill>
        </w:rPr>
        <w:t>服务行业产业、</w:t>
      </w:r>
      <w:r>
        <w:rPr>
          <w:rFonts w:hint="eastAsia" w:ascii="仿宋" w:hAnsi="仿宋" w:eastAsia="仿宋" w:cs="仿宋"/>
          <w:b w:val="0"/>
          <w:bCs w:val="0"/>
          <w:color w:val="FF0000"/>
          <w:sz w:val="30"/>
          <w:szCs w:val="30"/>
          <w:u w:val="none"/>
          <w:lang w:eastAsia="zh-CN"/>
        </w:rPr>
        <w:t>乡村振兴</w:t>
      </w:r>
      <w:r>
        <w:rPr>
          <w:rFonts w:hint="eastAsia" w:ascii="仿宋" w:hAnsi="仿宋" w:eastAsia="仿宋" w:cs="仿宋"/>
          <w:b w:val="0"/>
          <w:bCs w:val="0"/>
          <w:color w:val="000000" w:themeColor="text1"/>
          <w:sz w:val="30"/>
          <w:szCs w:val="30"/>
          <w:u w:val="none"/>
          <w:lang w:eastAsia="zh-CN"/>
          <w14:textFill>
            <w14:solidFill>
              <w14:schemeClr w14:val="tx1"/>
            </w14:solidFill>
          </w14:textFill>
        </w:rPr>
        <w:t>和区域经济社会发展。</w:t>
      </w:r>
      <w:bookmarkEnd w:id="32"/>
    </w:p>
    <w:p>
      <w:pPr>
        <w:keepNext w:val="0"/>
        <w:keepLines w:val="0"/>
        <w:pageBreakBefore w:val="0"/>
        <w:numPr>
          <w:ilvl w:val="0"/>
          <w:numId w:val="0"/>
        </w:numPr>
        <w:kinsoku/>
        <w:wordWrap/>
        <w:overflowPunct/>
        <w:topLinePunct w:val="0"/>
        <w:autoSpaceDE/>
        <w:autoSpaceDN/>
        <w:bidi w:val="0"/>
        <w:adjustRightInd/>
        <w:snapToGrid/>
        <w:spacing w:line="520" w:lineRule="exact"/>
        <w:ind w:left="0" w:leftChars="0" w:firstLine="602" w:firstLineChars="200"/>
        <w:jc w:val="both"/>
        <w:textAlignment w:val="auto"/>
        <w:outlineLvl w:val="1"/>
        <w:rPr>
          <w:rFonts w:hint="eastAsia" w:ascii="仿宋" w:hAnsi="仿宋" w:eastAsia="仿宋" w:cs="仿宋"/>
          <w:color w:val="000000" w:themeColor="text1"/>
          <w:sz w:val="30"/>
          <w:szCs w:val="30"/>
          <w:u w:val="none"/>
          <w:lang w:val="en-US" w:eastAsia="zh-CN"/>
          <w14:textFill>
            <w14:solidFill>
              <w14:schemeClr w14:val="tx1"/>
            </w14:solidFill>
          </w14:textFill>
        </w:rPr>
      </w:pPr>
      <w:bookmarkStart w:id="33" w:name="_Toc26517"/>
      <w:r>
        <w:rPr>
          <w:rFonts w:hint="eastAsia" w:ascii="仿宋" w:hAnsi="仿宋" w:eastAsia="仿宋" w:cs="仿宋"/>
          <w:b/>
          <w:bCs/>
          <w:color w:val="000000" w:themeColor="text1"/>
          <w:sz w:val="30"/>
          <w:szCs w:val="30"/>
          <w:u w:val="none"/>
          <w:lang w:val="en-US" w:eastAsia="zh-CN"/>
          <w14:textFill>
            <w14:solidFill>
              <w14:schemeClr w14:val="tx1"/>
            </w14:solidFill>
          </w14:textFill>
        </w:rPr>
        <w:t>（三）发展思路</w:t>
      </w:r>
      <w:bookmarkEnd w:id="33"/>
    </w:p>
    <w:p>
      <w:pPr>
        <w:keepNext w:val="0"/>
        <w:keepLines w:val="0"/>
        <w:pageBreakBefore w:val="0"/>
        <w:kinsoku/>
        <w:wordWrap/>
        <w:overflowPunct/>
        <w:topLinePunct w:val="0"/>
        <w:autoSpaceDE/>
        <w:autoSpaceDN/>
        <w:bidi w:val="0"/>
        <w:adjustRightInd/>
        <w:snapToGrid/>
        <w:spacing w:line="520" w:lineRule="exact"/>
        <w:ind w:left="0" w:leftChars="0" w:firstLine="600" w:firstLineChars="200"/>
        <w:jc w:val="both"/>
        <w:textAlignment w:val="auto"/>
        <w:rPr>
          <w:rFonts w:hint="eastAsia" w:ascii="仿宋" w:hAnsi="仿宋" w:eastAsia="仿宋" w:cs="仿宋"/>
          <w:color w:val="000000" w:themeColor="text1"/>
          <w:sz w:val="30"/>
          <w:szCs w:val="30"/>
          <w:u w:val="none"/>
          <w:lang w:val="en-US" w:eastAsia="zh-CN"/>
          <w14:textFill>
            <w14:solidFill>
              <w14:schemeClr w14:val="tx1"/>
            </w14:solidFill>
          </w14:textFill>
        </w:rPr>
      </w:pPr>
      <w:r>
        <w:rPr>
          <w:rFonts w:hint="eastAsia" w:ascii="仿宋" w:hAnsi="仿宋" w:eastAsia="仿宋" w:cs="仿宋"/>
          <w:b w:val="0"/>
          <w:bCs w:val="0"/>
          <w:color w:val="000000" w:themeColor="text1"/>
          <w:sz w:val="30"/>
          <w:szCs w:val="30"/>
          <w:u w:val="none"/>
          <w:lang w:val="en-US" w:eastAsia="zh-CN"/>
          <w14:textFill>
            <w14:solidFill>
              <w14:schemeClr w14:val="tx1"/>
            </w14:solidFill>
          </w14:textFill>
        </w:rPr>
        <w:t>夯实</w:t>
      </w:r>
      <w:r>
        <w:rPr>
          <w:rFonts w:hint="eastAsia" w:ascii="仿宋" w:hAnsi="仿宋" w:eastAsia="仿宋" w:cs="仿宋"/>
          <w:b/>
          <w:bCs/>
          <w:color w:val="000000" w:themeColor="text1"/>
          <w:sz w:val="30"/>
          <w:szCs w:val="30"/>
          <w:u w:val="none"/>
          <w:lang w:val="en-US" w:eastAsia="zh-CN"/>
          <w14:textFill>
            <w14:solidFill>
              <w14:schemeClr w14:val="tx1"/>
            </w14:solidFill>
          </w14:textFill>
        </w:rPr>
        <w:t>“一个基础”</w:t>
      </w:r>
      <w:r>
        <w:rPr>
          <w:rFonts w:hint="eastAsia" w:ascii="仿宋" w:hAnsi="仿宋" w:eastAsia="仿宋" w:cs="仿宋"/>
          <w:b w:val="0"/>
          <w:bCs w:val="0"/>
          <w:color w:val="000000" w:themeColor="text1"/>
          <w:sz w:val="30"/>
          <w:szCs w:val="30"/>
          <w:u w:val="none"/>
          <w:lang w:val="en-US" w:eastAsia="zh-CN"/>
          <w14:textFill>
            <w14:solidFill>
              <w14:schemeClr w14:val="tx1"/>
            </w14:solidFill>
          </w14:textFill>
        </w:rPr>
        <w:t>：</w:t>
      </w:r>
      <w:r>
        <w:rPr>
          <w:rFonts w:hint="eastAsia" w:ascii="仿宋" w:hAnsi="仿宋" w:eastAsia="仿宋" w:cs="仿宋"/>
          <w:color w:val="000000" w:themeColor="text1"/>
          <w:sz w:val="30"/>
          <w:szCs w:val="30"/>
          <w:u w:val="none"/>
          <w:lang w:val="en-US" w:eastAsia="zh-CN"/>
          <w14:textFill>
            <w14:solidFill>
              <w14:schemeClr w14:val="tx1"/>
            </w14:solidFill>
          </w14:textFill>
        </w:rPr>
        <w:t>以立德树人为根本，以强农兴农为己任，以教育部本科教学工作合格评估为契机，</w:t>
      </w:r>
      <w:r>
        <w:rPr>
          <w:rFonts w:hint="eastAsia" w:ascii="仿宋" w:hAnsi="仿宋" w:eastAsia="仿宋" w:cs="仿宋"/>
          <w:color w:val="0000FF"/>
          <w:sz w:val="30"/>
          <w:szCs w:val="30"/>
        </w:rPr>
        <w:t>全面深化改革，注重内涵建设，凸显农林特色，实现高质量发展，</w:t>
      </w:r>
      <w:r>
        <w:rPr>
          <w:rFonts w:hint="eastAsia" w:ascii="仿宋" w:hAnsi="仿宋" w:eastAsia="仿宋" w:cs="仿宋"/>
          <w:color w:val="000000" w:themeColor="text1"/>
          <w:sz w:val="30"/>
          <w:szCs w:val="30"/>
          <w:u w:val="none"/>
          <w:lang w:val="en-US" w:eastAsia="zh-CN"/>
          <w14:textFill>
            <w14:solidFill>
              <w14:schemeClr w14:val="tx1"/>
            </w14:solidFill>
          </w14:textFill>
        </w:rPr>
        <w:t>为建设特色鲜明的应用型本科高校奠定</w:t>
      </w:r>
      <w:r>
        <w:rPr>
          <w:rFonts w:hint="eastAsia" w:ascii="仿宋" w:hAnsi="仿宋" w:eastAsia="仿宋" w:cs="仿宋"/>
          <w:color w:val="000000" w:themeColor="text1"/>
          <w:spacing w:val="7"/>
          <w:kern w:val="2"/>
          <w:sz w:val="30"/>
          <w:szCs w:val="30"/>
          <w:u w:val="none"/>
          <w:lang w:val="en-US" w:eastAsia="zh-CN" w:bidi="ar-SA"/>
          <w14:textFill>
            <w14:solidFill>
              <w14:schemeClr w14:val="tx1"/>
            </w14:solidFill>
          </w14:textFill>
        </w:rPr>
        <w:t>基础</w:t>
      </w:r>
      <w:r>
        <w:rPr>
          <w:rFonts w:hint="eastAsia" w:ascii="仿宋" w:hAnsi="仿宋" w:eastAsia="仿宋" w:cs="仿宋"/>
          <w:color w:val="000000" w:themeColor="text1"/>
          <w:sz w:val="30"/>
          <w:szCs w:val="30"/>
          <w:u w:val="none"/>
          <w:lang w:val="en-US" w:eastAsia="zh-CN"/>
          <w14:textFill>
            <w14:solidFill>
              <w14:schemeClr w14:val="tx1"/>
            </w14:solidFill>
          </w14:textFill>
        </w:rPr>
        <w:t>。</w:t>
      </w:r>
    </w:p>
    <w:p>
      <w:pPr>
        <w:keepNext w:val="0"/>
        <w:keepLines w:val="0"/>
        <w:pageBreakBefore w:val="0"/>
        <w:numPr>
          <w:ilvl w:val="0"/>
          <w:numId w:val="0"/>
        </w:numPr>
        <w:kinsoku/>
        <w:wordWrap/>
        <w:overflowPunct/>
        <w:topLinePunct w:val="0"/>
        <w:autoSpaceDE/>
        <w:autoSpaceDN/>
        <w:bidi w:val="0"/>
        <w:adjustRightInd/>
        <w:snapToGrid/>
        <w:spacing w:line="520" w:lineRule="exact"/>
        <w:ind w:left="0" w:leftChars="0" w:firstLine="600" w:firstLineChars="200"/>
        <w:jc w:val="both"/>
        <w:textAlignment w:val="auto"/>
        <w:rPr>
          <w:rFonts w:hint="eastAsia" w:ascii="仿宋" w:hAnsi="仿宋" w:eastAsia="仿宋" w:cs="仿宋"/>
          <w:color w:val="000000" w:themeColor="text1"/>
          <w:sz w:val="30"/>
          <w:szCs w:val="30"/>
          <w:u w:val="none"/>
          <w:lang w:val="en-US" w:eastAsia="zh-CN"/>
          <w14:textFill>
            <w14:solidFill>
              <w14:schemeClr w14:val="tx1"/>
            </w14:solidFill>
          </w14:textFill>
        </w:rPr>
      </w:pPr>
      <w:r>
        <w:rPr>
          <w:rFonts w:hint="eastAsia" w:ascii="仿宋" w:hAnsi="仿宋" w:eastAsia="仿宋" w:cs="仿宋"/>
          <w:color w:val="000000" w:themeColor="text1"/>
          <w:sz w:val="30"/>
          <w:szCs w:val="30"/>
          <w:u w:val="none"/>
          <w:lang w:val="en-US" w:eastAsia="zh-CN"/>
          <w14:textFill>
            <w14:solidFill>
              <w14:schemeClr w14:val="tx1"/>
            </w14:solidFill>
          </w14:textFill>
        </w:rPr>
        <w:t>突出</w:t>
      </w:r>
      <w:r>
        <w:rPr>
          <w:rFonts w:hint="eastAsia" w:ascii="仿宋" w:hAnsi="仿宋" w:eastAsia="仿宋" w:cs="仿宋"/>
          <w:b/>
          <w:bCs/>
          <w:color w:val="000000" w:themeColor="text1"/>
          <w:sz w:val="30"/>
          <w:szCs w:val="30"/>
          <w:u w:val="none"/>
          <w:lang w:val="en-US" w:eastAsia="zh-CN"/>
          <w14:textFill>
            <w14:solidFill>
              <w14:schemeClr w14:val="tx1"/>
            </w14:solidFill>
          </w14:textFill>
        </w:rPr>
        <w:t>“二项重点”</w:t>
      </w:r>
      <w:r>
        <w:rPr>
          <w:rFonts w:hint="eastAsia" w:ascii="仿宋" w:hAnsi="仿宋" w:eastAsia="仿宋" w:cs="仿宋"/>
          <w:color w:val="000000" w:themeColor="text1"/>
          <w:sz w:val="30"/>
          <w:szCs w:val="30"/>
          <w:u w:val="none"/>
          <w:lang w:val="en-US" w:eastAsia="zh-CN"/>
          <w14:textFill>
            <w14:solidFill>
              <w14:schemeClr w14:val="tx1"/>
            </w14:solidFill>
          </w14:textFill>
        </w:rPr>
        <w:t>：</w:t>
      </w:r>
      <w:r>
        <w:rPr>
          <w:rFonts w:hint="eastAsia" w:ascii="仿宋" w:hAnsi="仿宋" w:eastAsia="仿宋" w:cs="仿宋"/>
          <w:color w:val="FF0000"/>
          <w:sz w:val="30"/>
          <w:szCs w:val="30"/>
          <w:u w:val="none"/>
          <w:lang w:val="en-US" w:eastAsia="zh-CN"/>
        </w:rPr>
        <w:t>推进</w:t>
      </w:r>
      <w:r>
        <w:rPr>
          <w:rFonts w:hint="eastAsia" w:ascii="仿宋" w:hAnsi="仿宋" w:eastAsia="仿宋" w:cs="仿宋"/>
          <w:b w:val="0"/>
          <w:bCs w:val="0"/>
          <w:color w:val="FF0000"/>
          <w:sz w:val="30"/>
          <w:szCs w:val="30"/>
          <w:u w:val="none"/>
          <w:lang w:val="en-US" w:eastAsia="zh-CN"/>
        </w:rPr>
        <w:t>产学研合作育人质量</w:t>
      </w:r>
      <w:r>
        <w:rPr>
          <w:rFonts w:hint="eastAsia" w:ascii="仿宋" w:hAnsi="仿宋" w:eastAsia="仿宋" w:cs="仿宋"/>
          <w:color w:val="FF0000"/>
          <w:sz w:val="30"/>
          <w:szCs w:val="30"/>
          <w:u w:val="none"/>
          <w:lang w:val="en-US" w:eastAsia="zh-CN"/>
        </w:rPr>
        <w:t>工程建设</w:t>
      </w:r>
      <w:r>
        <w:rPr>
          <w:rFonts w:hint="eastAsia" w:ascii="仿宋" w:hAnsi="仿宋" w:eastAsia="仿宋" w:cs="仿宋"/>
          <w:color w:val="000000" w:themeColor="text1"/>
          <w:sz w:val="30"/>
          <w:szCs w:val="30"/>
          <w:u w:val="none"/>
          <w:lang w:val="en-US" w:eastAsia="zh-CN"/>
          <w14:textFill>
            <w14:solidFill>
              <w14:schemeClr w14:val="tx1"/>
            </w14:solidFill>
          </w14:textFill>
        </w:rPr>
        <w:t>；</w:t>
      </w:r>
      <w:r>
        <w:rPr>
          <w:rFonts w:hint="eastAsia" w:ascii="仿宋" w:hAnsi="仿宋" w:eastAsia="仿宋" w:cs="仿宋"/>
          <w:b w:val="0"/>
          <w:bCs w:val="0"/>
          <w:color w:val="FF0000"/>
          <w:sz w:val="30"/>
          <w:szCs w:val="30"/>
          <w:u w:val="none"/>
          <w:lang w:val="en-US" w:eastAsia="zh-CN"/>
        </w:rPr>
        <w:t>提升服务区域行业产业和乡村振兴的能力与水平</w:t>
      </w:r>
      <w:r>
        <w:rPr>
          <w:rFonts w:hint="eastAsia" w:ascii="仿宋" w:hAnsi="仿宋" w:eastAsia="仿宋" w:cs="仿宋"/>
          <w:color w:val="000000" w:themeColor="text1"/>
          <w:sz w:val="30"/>
          <w:szCs w:val="30"/>
          <w:u w:val="none"/>
          <w:lang w:val="en-US" w:eastAsia="zh-CN"/>
          <w14:textFill>
            <w14:solidFill>
              <w14:schemeClr w14:val="tx1"/>
            </w14:solidFill>
          </w14:textFill>
        </w:rPr>
        <w:t>。</w:t>
      </w:r>
    </w:p>
    <w:p>
      <w:pPr>
        <w:keepNext w:val="0"/>
        <w:keepLines w:val="0"/>
        <w:pageBreakBefore w:val="0"/>
        <w:numPr>
          <w:ilvl w:val="0"/>
          <w:numId w:val="0"/>
        </w:numPr>
        <w:kinsoku/>
        <w:wordWrap/>
        <w:overflowPunct/>
        <w:topLinePunct w:val="0"/>
        <w:autoSpaceDE/>
        <w:autoSpaceDN/>
        <w:bidi w:val="0"/>
        <w:adjustRightInd/>
        <w:snapToGrid/>
        <w:spacing w:line="520" w:lineRule="exact"/>
        <w:ind w:left="0" w:leftChars="0" w:firstLine="600" w:firstLineChars="200"/>
        <w:jc w:val="both"/>
        <w:textAlignment w:val="auto"/>
        <w:rPr>
          <w:rFonts w:hint="eastAsia" w:ascii="仿宋" w:hAnsi="仿宋" w:eastAsia="仿宋" w:cs="仿宋"/>
          <w:color w:val="000000" w:themeColor="text1"/>
          <w:sz w:val="30"/>
          <w:szCs w:val="30"/>
          <w:u w:val="none"/>
          <w:lang w:val="en-US" w:eastAsia="zh-CN"/>
          <w14:textFill>
            <w14:solidFill>
              <w14:schemeClr w14:val="tx1"/>
            </w14:solidFill>
          </w14:textFill>
        </w:rPr>
      </w:pPr>
      <w:r>
        <w:rPr>
          <w:rFonts w:hint="eastAsia" w:ascii="仿宋" w:hAnsi="仿宋" w:eastAsia="仿宋" w:cs="仿宋"/>
          <w:color w:val="000000" w:themeColor="text1"/>
          <w:sz w:val="30"/>
          <w:szCs w:val="30"/>
          <w:u w:val="none"/>
          <w:lang w:val="en-US" w:eastAsia="zh-CN"/>
          <w14:textFill>
            <w14:solidFill>
              <w14:schemeClr w14:val="tx1"/>
            </w14:solidFill>
          </w14:textFill>
        </w:rPr>
        <w:t>推进</w:t>
      </w:r>
      <w:r>
        <w:rPr>
          <w:rFonts w:hint="eastAsia" w:ascii="仿宋" w:hAnsi="仿宋" w:eastAsia="仿宋" w:cs="仿宋"/>
          <w:b/>
          <w:bCs/>
          <w:color w:val="000000" w:themeColor="text1"/>
          <w:sz w:val="30"/>
          <w:szCs w:val="30"/>
          <w:u w:val="none"/>
          <w:lang w:val="en-US" w:eastAsia="zh-CN"/>
          <w14:textFill>
            <w14:solidFill>
              <w14:schemeClr w14:val="tx1"/>
            </w14:solidFill>
          </w14:textFill>
        </w:rPr>
        <w:t>“三大改革”</w:t>
      </w:r>
      <w:r>
        <w:rPr>
          <w:rFonts w:hint="eastAsia" w:ascii="仿宋" w:hAnsi="仿宋" w:eastAsia="仿宋" w:cs="仿宋"/>
          <w:color w:val="000000" w:themeColor="text1"/>
          <w:sz w:val="30"/>
          <w:szCs w:val="30"/>
          <w:u w:val="none"/>
          <w:lang w:val="en-US" w:eastAsia="zh-CN"/>
          <w14:textFill>
            <w14:solidFill>
              <w14:schemeClr w14:val="tx1"/>
            </w14:solidFill>
          </w14:textFill>
        </w:rPr>
        <w:t>：以“四新”建设为导向，推进</w:t>
      </w:r>
      <w:r>
        <w:rPr>
          <w:rFonts w:hint="eastAsia" w:ascii="仿宋" w:hAnsi="仿宋" w:eastAsia="仿宋" w:cs="仿宋"/>
          <w:color w:val="0000FF"/>
          <w:sz w:val="30"/>
          <w:szCs w:val="30"/>
          <w:u w:val="none"/>
          <w:lang w:val="en-US" w:eastAsia="zh-CN"/>
        </w:rPr>
        <w:t>以</w:t>
      </w:r>
      <w:r>
        <w:rPr>
          <w:rFonts w:hint="eastAsia" w:ascii="仿宋" w:hAnsi="仿宋" w:eastAsia="仿宋" w:cs="仿宋"/>
          <w:color w:val="000000" w:themeColor="text1"/>
          <w:sz w:val="30"/>
          <w:szCs w:val="30"/>
          <w:u w:val="none"/>
          <w:lang w:val="en-US" w:eastAsia="zh-CN"/>
          <w14:textFill>
            <w14:solidFill>
              <w14:schemeClr w14:val="tx1"/>
            </w14:solidFill>
          </w14:textFill>
        </w:rPr>
        <w:t>产教融合校企协同育人为核心的应用型人才培养模式改革；以服务地方</w:t>
      </w:r>
      <w:r>
        <w:rPr>
          <w:rFonts w:hint="eastAsia" w:ascii="仿宋" w:hAnsi="仿宋" w:eastAsia="仿宋" w:cs="仿宋"/>
          <w:color w:val="0000FF"/>
          <w:sz w:val="30"/>
          <w:szCs w:val="30"/>
          <w:u w:val="none"/>
          <w:lang w:val="en-US" w:eastAsia="zh-CN"/>
        </w:rPr>
        <w:t>经济社会</w:t>
      </w:r>
      <w:r>
        <w:rPr>
          <w:rFonts w:hint="eastAsia" w:ascii="仿宋" w:hAnsi="仿宋" w:eastAsia="仿宋" w:cs="仿宋"/>
          <w:color w:val="000000" w:themeColor="text1"/>
          <w:sz w:val="30"/>
          <w:szCs w:val="30"/>
          <w:u w:val="none"/>
          <w:lang w:val="en-US" w:eastAsia="zh-CN"/>
          <w14:textFill>
            <w14:solidFill>
              <w14:schemeClr w14:val="tx1"/>
            </w14:solidFill>
          </w14:textFill>
        </w:rPr>
        <w:t>发展需求为支撑，推进开放办学和科技服务供给侧改革；以现代大学治理能力提升为目标，推进学校</w:t>
      </w:r>
      <w:r>
        <w:rPr>
          <w:rFonts w:hint="eastAsia" w:ascii="仿宋" w:hAnsi="仿宋" w:eastAsia="仿宋" w:cs="仿宋"/>
          <w:color w:val="0000FF"/>
          <w:sz w:val="30"/>
          <w:szCs w:val="30"/>
          <w:u w:val="none"/>
          <w:lang w:val="en-US" w:eastAsia="zh-CN"/>
        </w:rPr>
        <w:t>治理</w:t>
      </w:r>
      <w:r>
        <w:rPr>
          <w:rFonts w:hint="eastAsia" w:ascii="仿宋" w:hAnsi="仿宋" w:eastAsia="仿宋" w:cs="仿宋"/>
          <w:color w:val="000000" w:themeColor="text1"/>
          <w:sz w:val="30"/>
          <w:szCs w:val="30"/>
          <w:u w:val="none"/>
          <w:lang w:val="en-US" w:eastAsia="zh-CN"/>
          <w14:textFill>
            <w14:solidFill>
              <w14:schemeClr w14:val="tx1"/>
            </w14:solidFill>
          </w14:textFill>
        </w:rPr>
        <w:t>体制机制改革。</w:t>
      </w:r>
    </w:p>
    <w:p>
      <w:pPr>
        <w:keepNext w:val="0"/>
        <w:keepLines w:val="0"/>
        <w:pageBreakBefore w:val="0"/>
        <w:numPr>
          <w:ilvl w:val="0"/>
          <w:numId w:val="0"/>
        </w:numPr>
        <w:kinsoku/>
        <w:wordWrap/>
        <w:overflowPunct/>
        <w:topLinePunct w:val="0"/>
        <w:autoSpaceDE/>
        <w:autoSpaceDN/>
        <w:bidi w:val="0"/>
        <w:adjustRightInd/>
        <w:snapToGrid/>
        <w:spacing w:line="520" w:lineRule="exact"/>
        <w:ind w:left="0" w:leftChars="0" w:firstLine="600" w:firstLineChars="200"/>
        <w:jc w:val="both"/>
        <w:textAlignment w:val="auto"/>
        <w:rPr>
          <w:rFonts w:hint="eastAsia" w:ascii="仿宋" w:hAnsi="仿宋" w:eastAsia="仿宋" w:cs="仿宋"/>
          <w:color w:val="000000" w:themeColor="text1"/>
          <w:sz w:val="30"/>
          <w:szCs w:val="30"/>
          <w:u w:val="none"/>
          <w:lang w:val="en-US" w:eastAsia="zh-CN"/>
          <w14:textFill>
            <w14:solidFill>
              <w14:schemeClr w14:val="tx1"/>
            </w14:solidFill>
          </w14:textFill>
        </w:rPr>
      </w:pPr>
      <w:r>
        <w:rPr>
          <w:rFonts w:hint="eastAsia" w:ascii="仿宋" w:hAnsi="仿宋" w:eastAsia="仿宋" w:cs="仿宋"/>
          <w:color w:val="000000" w:themeColor="text1"/>
          <w:sz w:val="30"/>
          <w:szCs w:val="30"/>
          <w:u w:val="none"/>
          <w:lang w:val="en-US" w:eastAsia="zh-CN"/>
          <w14:textFill>
            <w14:solidFill>
              <w14:schemeClr w14:val="tx1"/>
            </w14:solidFill>
          </w14:textFill>
        </w:rPr>
        <w:t>实施</w:t>
      </w:r>
      <w:r>
        <w:rPr>
          <w:rFonts w:hint="eastAsia" w:ascii="仿宋" w:hAnsi="仿宋" w:eastAsia="仿宋" w:cs="仿宋"/>
          <w:b/>
          <w:bCs/>
          <w:color w:val="000000" w:themeColor="text1"/>
          <w:sz w:val="30"/>
          <w:szCs w:val="30"/>
          <w:u w:val="none"/>
          <w:lang w:val="en-US" w:eastAsia="zh-CN"/>
          <w14:textFill>
            <w14:solidFill>
              <w14:schemeClr w14:val="tx1"/>
            </w14:solidFill>
          </w14:textFill>
        </w:rPr>
        <w:t>“五大工程”</w:t>
      </w:r>
      <w:r>
        <w:rPr>
          <w:rFonts w:hint="eastAsia" w:ascii="仿宋" w:hAnsi="仿宋" w:eastAsia="仿宋" w:cs="仿宋"/>
          <w:color w:val="000000" w:themeColor="text1"/>
          <w:sz w:val="30"/>
          <w:szCs w:val="30"/>
          <w:u w:val="none"/>
          <w:lang w:val="en-US" w:eastAsia="zh-CN"/>
          <w14:textFill>
            <w14:solidFill>
              <w14:schemeClr w14:val="tx1"/>
            </w14:solidFill>
          </w14:textFill>
        </w:rPr>
        <w:t>：以应用型人才培养为</w:t>
      </w:r>
      <w:r>
        <w:rPr>
          <w:rFonts w:hint="eastAsia" w:ascii="仿宋" w:hAnsi="仿宋" w:eastAsia="仿宋" w:cs="仿宋"/>
          <w:color w:val="0000FF"/>
          <w:sz w:val="30"/>
          <w:szCs w:val="30"/>
          <w:u w:val="none"/>
          <w:lang w:val="en-US" w:eastAsia="zh-CN"/>
        </w:rPr>
        <w:t>目标</w:t>
      </w:r>
      <w:r>
        <w:rPr>
          <w:rFonts w:hint="eastAsia" w:ascii="仿宋" w:hAnsi="仿宋" w:eastAsia="仿宋" w:cs="仿宋"/>
          <w:color w:val="000000" w:themeColor="text1"/>
          <w:sz w:val="30"/>
          <w:szCs w:val="30"/>
          <w:u w:val="none"/>
          <w:lang w:val="en-US" w:eastAsia="zh-CN"/>
          <w14:textFill>
            <w14:solidFill>
              <w14:schemeClr w14:val="tx1"/>
            </w14:solidFill>
          </w14:textFill>
        </w:rPr>
        <w:t>，实施专业建设质量提升工程；以师资队伍建设为重点，实施引才育才人才强校工程；以管理体制机制创新为抓手，实施校院两级管理</w:t>
      </w:r>
      <w:r>
        <w:rPr>
          <w:rFonts w:hint="eastAsia" w:ascii="仿宋" w:hAnsi="仿宋" w:eastAsia="仿宋" w:cs="仿宋"/>
          <w:color w:val="0000FF"/>
          <w:sz w:val="30"/>
          <w:szCs w:val="30"/>
          <w:u w:val="none"/>
          <w:lang w:val="en-US" w:eastAsia="zh-CN"/>
        </w:rPr>
        <w:t>模式</w:t>
      </w:r>
      <w:r>
        <w:rPr>
          <w:rFonts w:hint="eastAsia" w:ascii="仿宋" w:hAnsi="仿宋" w:eastAsia="仿宋" w:cs="仿宋"/>
          <w:color w:val="000000" w:themeColor="text1"/>
          <w:sz w:val="30"/>
          <w:szCs w:val="30"/>
          <w:u w:val="none"/>
          <w:lang w:val="en-US" w:eastAsia="zh-CN"/>
          <w14:textFill>
            <w14:solidFill>
              <w14:schemeClr w14:val="tx1"/>
            </w14:solidFill>
          </w14:textFill>
        </w:rPr>
        <w:t>改革工程；以学校二期建设为契机，实施办学条件保障工程；以校园文化建设为支撑，实施文化育人引领工程。</w:t>
      </w:r>
    </w:p>
    <w:p>
      <w:pPr>
        <w:keepNext w:val="0"/>
        <w:keepLines w:val="0"/>
        <w:pageBreakBefore w:val="0"/>
        <w:numPr>
          <w:ilvl w:val="0"/>
          <w:numId w:val="0"/>
        </w:numPr>
        <w:kinsoku/>
        <w:wordWrap/>
        <w:overflowPunct/>
        <w:topLinePunct w:val="0"/>
        <w:autoSpaceDE/>
        <w:autoSpaceDN/>
        <w:bidi w:val="0"/>
        <w:adjustRightInd/>
        <w:snapToGrid/>
        <w:spacing w:line="520" w:lineRule="exact"/>
        <w:ind w:left="0" w:leftChars="0" w:firstLine="602" w:firstLineChars="200"/>
        <w:jc w:val="both"/>
        <w:textAlignment w:val="auto"/>
        <w:outlineLvl w:val="1"/>
        <w:rPr>
          <w:rFonts w:hint="eastAsia" w:ascii="仿宋" w:hAnsi="仿宋" w:eastAsia="仿宋" w:cs="仿宋"/>
          <w:b/>
          <w:bCs/>
          <w:color w:val="000000" w:themeColor="text1"/>
          <w:sz w:val="30"/>
          <w:szCs w:val="30"/>
          <w:u w:val="none"/>
          <w:lang w:val="en-US" w:eastAsia="zh-CN"/>
          <w14:textFill>
            <w14:solidFill>
              <w14:schemeClr w14:val="tx1"/>
            </w14:solidFill>
          </w14:textFill>
        </w:rPr>
      </w:pPr>
      <w:bookmarkStart w:id="34" w:name="_Toc24158"/>
      <w:r>
        <w:rPr>
          <w:rFonts w:hint="eastAsia" w:ascii="仿宋" w:hAnsi="仿宋" w:eastAsia="仿宋" w:cs="仿宋"/>
          <w:b/>
          <w:bCs/>
          <w:color w:val="000000" w:themeColor="text1"/>
          <w:sz w:val="30"/>
          <w:szCs w:val="30"/>
          <w:u w:val="none"/>
          <w:lang w:val="en-US" w:eastAsia="zh-CN"/>
          <w14:textFill>
            <w14:solidFill>
              <w14:schemeClr w14:val="tx1"/>
            </w14:solidFill>
          </w14:textFill>
        </w:rPr>
        <w:t>（四）发展目标</w:t>
      </w:r>
      <w:bookmarkEnd w:id="34"/>
    </w:p>
    <w:p>
      <w:pPr>
        <w:keepNext w:val="0"/>
        <w:keepLines w:val="0"/>
        <w:pageBreakBefore w:val="0"/>
        <w:widowControl/>
        <w:suppressLineNumbers w:val="0"/>
        <w:kinsoku/>
        <w:wordWrap/>
        <w:overflowPunct/>
        <w:topLinePunct w:val="0"/>
        <w:autoSpaceDE/>
        <w:autoSpaceDN/>
        <w:bidi w:val="0"/>
        <w:adjustRightInd/>
        <w:snapToGrid/>
        <w:spacing w:line="520" w:lineRule="exact"/>
        <w:ind w:left="0" w:leftChars="0" w:firstLine="602" w:firstLineChars="200"/>
        <w:jc w:val="both"/>
        <w:textAlignment w:val="auto"/>
        <w:outlineLvl w:val="2"/>
        <w:rPr>
          <w:rFonts w:hint="eastAsia" w:ascii="仿宋" w:hAnsi="仿宋" w:eastAsia="仿宋" w:cs="仿宋"/>
          <w:b/>
          <w:bCs/>
          <w:color w:val="FF0000"/>
          <w:sz w:val="30"/>
          <w:szCs w:val="30"/>
          <w:u w:val="none"/>
          <w:lang w:val="en-US" w:eastAsia="zh-CN"/>
        </w:rPr>
      </w:pPr>
      <w:bookmarkStart w:id="35" w:name="_Toc2022"/>
      <w:r>
        <w:rPr>
          <w:rFonts w:hint="eastAsia" w:ascii="仿宋" w:hAnsi="仿宋" w:eastAsia="仿宋" w:cs="仿宋"/>
          <w:b/>
          <w:color w:val="FF0000"/>
          <w:kern w:val="0"/>
          <w:sz w:val="30"/>
          <w:szCs w:val="30"/>
          <w:u w:val="none"/>
          <w:lang w:val="en-US" w:eastAsia="zh-CN" w:bidi="ar"/>
        </w:rPr>
        <w:t>1.</w:t>
      </w:r>
      <w:r>
        <w:rPr>
          <w:rFonts w:hint="eastAsia" w:ascii="仿宋" w:hAnsi="仿宋" w:eastAsia="仿宋" w:cs="仿宋"/>
          <w:b/>
          <w:bCs/>
          <w:color w:val="FF0000"/>
          <w:sz w:val="30"/>
          <w:szCs w:val="30"/>
          <w:u w:val="none"/>
          <w:lang w:val="en-US" w:eastAsia="zh-CN"/>
        </w:rPr>
        <w:t>“十四五”发展目标</w:t>
      </w:r>
      <w:bookmarkEnd w:id="35"/>
    </w:p>
    <w:p>
      <w:pPr>
        <w:keepNext w:val="0"/>
        <w:keepLines w:val="0"/>
        <w:pageBreakBefore w:val="0"/>
        <w:widowControl/>
        <w:suppressLineNumbers w:val="0"/>
        <w:kinsoku/>
        <w:wordWrap/>
        <w:overflowPunct/>
        <w:topLinePunct w:val="0"/>
        <w:autoSpaceDE/>
        <w:autoSpaceDN/>
        <w:bidi w:val="0"/>
        <w:adjustRightInd/>
        <w:snapToGrid/>
        <w:spacing w:line="520" w:lineRule="exact"/>
        <w:ind w:left="0" w:leftChars="0" w:firstLine="600" w:firstLineChars="200"/>
        <w:jc w:val="both"/>
        <w:textAlignment w:val="auto"/>
        <w:outlineLvl w:val="2"/>
        <w:rPr>
          <w:rFonts w:hint="eastAsia" w:ascii="仿宋" w:hAnsi="仿宋" w:eastAsia="仿宋" w:cs="仿宋"/>
          <w:color w:val="0000FF"/>
          <w:sz w:val="30"/>
          <w:szCs w:val="30"/>
          <w:u w:val="none"/>
          <w:lang w:val="en-US" w:eastAsia="zh-CN"/>
        </w:rPr>
      </w:pPr>
      <w:bookmarkStart w:id="36" w:name="_Toc32406"/>
      <w:r>
        <w:rPr>
          <w:rFonts w:hint="eastAsia" w:ascii="仿宋" w:hAnsi="仿宋" w:eastAsia="仿宋" w:cs="仿宋"/>
          <w:color w:val="000000" w:themeColor="text1"/>
          <w:sz w:val="30"/>
          <w:szCs w:val="30"/>
          <w:u w:val="none"/>
          <w:lang w:val="en-US" w:eastAsia="zh-CN"/>
          <w14:textFill>
            <w14:solidFill>
              <w14:schemeClr w14:val="tx1"/>
            </w14:solidFill>
          </w14:textFill>
        </w:rPr>
        <w:t>强化以评促建，顺利通过本科教学工作合格评估</w:t>
      </w:r>
      <w:r>
        <w:rPr>
          <w:rFonts w:hint="eastAsia" w:ascii="仿宋" w:hAnsi="仿宋" w:eastAsia="仿宋" w:cs="仿宋"/>
          <w:b w:val="0"/>
          <w:bCs w:val="0"/>
          <w:color w:val="000000" w:themeColor="text1"/>
          <w:sz w:val="30"/>
          <w:szCs w:val="30"/>
          <w:u w:val="none"/>
          <w:lang w:val="en-US" w:eastAsia="zh-CN"/>
          <w14:textFill>
            <w14:solidFill>
              <w14:schemeClr w14:val="tx1"/>
            </w14:solidFill>
          </w14:textFill>
        </w:rPr>
        <w:t>，总体办学实力和育人质量得到明显提升，</w:t>
      </w:r>
      <w:r>
        <w:rPr>
          <w:rFonts w:hint="eastAsia" w:ascii="仿宋" w:hAnsi="仿宋" w:eastAsia="仿宋" w:cs="仿宋"/>
          <w:b w:val="0"/>
          <w:bCs w:val="0"/>
          <w:color w:val="FF0000"/>
          <w:sz w:val="30"/>
          <w:szCs w:val="30"/>
          <w:u w:val="none"/>
          <w:lang w:val="en-US" w:eastAsia="zh-CN"/>
        </w:rPr>
        <w:t>转型发展取得重大进展</w:t>
      </w:r>
      <w:r>
        <w:rPr>
          <w:rFonts w:hint="eastAsia" w:ascii="仿宋" w:hAnsi="仿宋" w:eastAsia="仿宋" w:cs="仿宋"/>
          <w:b w:val="0"/>
          <w:bCs w:val="0"/>
          <w:color w:val="000000" w:themeColor="text1"/>
          <w:sz w:val="30"/>
          <w:szCs w:val="30"/>
          <w:u w:val="none"/>
          <w:lang w:val="en-US" w:eastAsia="zh-CN"/>
          <w14:textFill>
            <w14:solidFill>
              <w14:schemeClr w14:val="tx1"/>
            </w14:solidFill>
          </w14:textFill>
        </w:rPr>
        <w:t>；新农科建设形成比较优势，工学、管理学、文学、艺术学、理学等学科专业建设成效更加明显；应用型人才培养模式改革成果突出，人才培养质量明显提升；科技创新和社会服务能力充分彰显，支撑地方经济社会发展实力明显提升；内部治理体系与管理模式改革成效显著，人才强校战略取得重要</w:t>
      </w:r>
      <w:r>
        <w:rPr>
          <w:rFonts w:hint="eastAsia" w:ascii="仿宋" w:hAnsi="仿宋" w:eastAsia="仿宋" w:cs="仿宋"/>
          <w:b w:val="0"/>
          <w:bCs w:val="0"/>
          <w:color w:val="0000FF"/>
          <w:sz w:val="30"/>
          <w:szCs w:val="30"/>
          <w:u w:val="none"/>
          <w:lang w:val="en-US" w:eastAsia="zh-CN"/>
        </w:rPr>
        <w:t>成效</w:t>
      </w:r>
      <w:r>
        <w:rPr>
          <w:rFonts w:hint="eastAsia" w:ascii="仿宋" w:hAnsi="仿宋" w:eastAsia="仿宋" w:cs="仿宋"/>
          <w:b w:val="0"/>
          <w:bCs w:val="0"/>
          <w:color w:val="000000" w:themeColor="text1"/>
          <w:sz w:val="30"/>
          <w:szCs w:val="30"/>
          <w:u w:val="none"/>
          <w:lang w:val="en-US" w:eastAsia="zh-CN"/>
          <w14:textFill>
            <w14:solidFill>
              <w14:schemeClr w14:val="tx1"/>
            </w14:solidFill>
          </w14:textFill>
        </w:rPr>
        <w:t>，办学保障能力显著增强，布局合理、功能完善、环境优美、文明和谐校园基本建成；办学特色</w:t>
      </w:r>
      <w:r>
        <w:rPr>
          <w:rFonts w:hint="eastAsia" w:ascii="仿宋" w:hAnsi="仿宋" w:eastAsia="仿宋" w:cs="仿宋"/>
          <w:b w:val="0"/>
          <w:bCs w:val="0"/>
          <w:color w:val="0000FF"/>
          <w:sz w:val="30"/>
          <w:szCs w:val="30"/>
          <w:u w:val="none"/>
          <w:lang w:val="en-US" w:eastAsia="zh-CN"/>
        </w:rPr>
        <w:t>更加</w:t>
      </w:r>
      <w:r>
        <w:rPr>
          <w:rFonts w:hint="eastAsia" w:ascii="仿宋" w:hAnsi="仿宋" w:eastAsia="仿宋" w:cs="仿宋"/>
          <w:b w:val="0"/>
          <w:bCs w:val="0"/>
          <w:color w:val="000000" w:themeColor="text1"/>
          <w:sz w:val="30"/>
          <w:szCs w:val="30"/>
          <w:u w:val="none"/>
          <w:lang w:val="en-US" w:eastAsia="zh-CN"/>
          <w14:textFill>
            <w14:solidFill>
              <w14:schemeClr w14:val="tx1"/>
            </w14:solidFill>
          </w14:textFill>
        </w:rPr>
        <w:t>鲜明，核心竞争力与社会影响力及师生获得感明显</w:t>
      </w:r>
      <w:r>
        <w:rPr>
          <w:rFonts w:hint="eastAsia" w:ascii="仿宋" w:hAnsi="仿宋" w:eastAsia="仿宋" w:cs="仿宋"/>
          <w:color w:val="000000" w:themeColor="text1"/>
          <w:sz w:val="30"/>
          <w:szCs w:val="30"/>
          <w:u w:val="none"/>
          <w:lang w:val="en-US" w:eastAsia="zh-CN"/>
          <w14:textFill>
            <w14:solidFill>
              <w14:schemeClr w14:val="tx1"/>
            </w14:solidFill>
          </w14:textFill>
        </w:rPr>
        <w:t>增强，</w:t>
      </w:r>
      <w:r>
        <w:rPr>
          <w:rFonts w:hint="eastAsia" w:ascii="仿宋" w:hAnsi="仿宋" w:eastAsia="仿宋" w:cs="仿宋"/>
          <w:color w:val="0000FF"/>
          <w:sz w:val="30"/>
          <w:szCs w:val="30"/>
        </w:rPr>
        <w:t>初步建成</w:t>
      </w:r>
      <w:r>
        <w:rPr>
          <w:rFonts w:hint="eastAsia" w:ascii="仿宋" w:hAnsi="仿宋" w:eastAsia="仿宋" w:cs="仿宋"/>
          <w:color w:val="0000FF"/>
          <w:sz w:val="30"/>
          <w:szCs w:val="30"/>
          <w:lang w:eastAsia="zh-CN"/>
        </w:rPr>
        <w:t>在省内外有一定影响力和知名度的地方</w:t>
      </w:r>
      <w:r>
        <w:rPr>
          <w:rFonts w:hint="eastAsia" w:ascii="仿宋" w:hAnsi="仿宋" w:eastAsia="仿宋" w:cs="仿宋"/>
          <w:color w:val="0000FF"/>
          <w:sz w:val="30"/>
          <w:szCs w:val="30"/>
        </w:rPr>
        <w:t>应用型高校</w:t>
      </w:r>
      <w:r>
        <w:rPr>
          <w:rFonts w:hint="eastAsia" w:ascii="仿宋" w:hAnsi="仿宋" w:eastAsia="仿宋" w:cs="仿宋"/>
          <w:color w:val="0000FF"/>
          <w:sz w:val="30"/>
          <w:szCs w:val="30"/>
          <w:u w:val="none"/>
          <w:lang w:val="en-US" w:eastAsia="zh-CN"/>
        </w:rPr>
        <w:t>。</w:t>
      </w:r>
      <w:bookmarkEnd w:id="36"/>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20" w:lineRule="exact"/>
        <w:ind w:leftChars="200"/>
        <w:jc w:val="both"/>
        <w:textAlignment w:val="auto"/>
        <w:outlineLvl w:val="2"/>
        <w:rPr>
          <w:rFonts w:hint="eastAsia" w:ascii="仿宋" w:hAnsi="仿宋" w:eastAsia="仿宋" w:cs="仿宋"/>
          <w:b/>
          <w:bCs/>
          <w:color w:val="FF0000"/>
          <w:sz w:val="30"/>
          <w:szCs w:val="30"/>
          <w:u w:val="none"/>
          <w:lang w:val="en-US" w:eastAsia="zh-CN"/>
        </w:rPr>
      </w:pPr>
      <w:bookmarkStart w:id="37" w:name="_Toc10717"/>
      <w:r>
        <w:rPr>
          <w:rFonts w:hint="eastAsia" w:ascii="仿宋" w:hAnsi="仿宋" w:eastAsia="仿宋" w:cs="仿宋"/>
          <w:b/>
          <w:bCs/>
          <w:color w:val="FF0000"/>
          <w:sz w:val="30"/>
          <w:szCs w:val="30"/>
          <w:u w:val="none"/>
          <w:lang w:val="en-US" w:eastAsia="zh-CN"/>
        </w:rPr>
        <w:t>2.中长期发展愿景</w:t>
      </w:r>
      <w:bookmarkEnd w:id="37"/>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20" w:lineRule="exact"/>
        <w:ind w:firstLine="600" w:firstLineChars="200"/>
        <w:jc w:val="both"/>
        <w:textAlignment w:val="auto"/>
        <w:outlineLvl w:val="2"/>
        <w:rPr>
          <w:rFonts w:hint="eastAsia" w:ascii="仿宋" w:hAnsi="仿宋" w:eastAsia="仿宋" w:cs="仿宋"/>
          <w:color w:val="FF0000"/>
          <w:sz w:val="30"/>
          <w:szCs w:val="30"/>
          <w:u w:val="none"/>
          <w:lang w:val="en-US" w:eastAsia="zh-CN"/>
        </w:rPr>
      </w:pPr>
      <w:bookmarkStart w:id="38" w:name="_Toc32373"/>
      <w:r>
        <w:rPr>
          <w:rFonts w:hint="eastAsia" w:ascii="仿宋" w:hAnsi="仿宋" w:eastAsia="仿宋" w:cs="仿宋"/>
          <w:color w:val="FF0000"/>
          <w:sz w:val="30"/>
          <w:szCs w:val="30"/>
          <w:u w:val="none"/>
          <w:lang w:val="en-US" w:eastAsia="zh-CN"/>
        </w:rPr>
        <w:t>到2030年，内涵建设成效更加明显，办学条件比较完善，</w:t>
      </w:r>
      <w:r>
        <w:rPr>
          <w:rFonts w:hint="eastAsia" w:ascii="仿宋" w:hAnsi="仿宋" w:eastAsia="仿宋" w:cs="仿宋"/>
          <w:color w:val="0000FF"/>
          <w:sz w:val="30"/>
          <w:szCs w:val="30"/>
          <w:u w:val="none"/>
          <w:lang w:val="en-US" w:eastAsia="zh-CN"/>
        </w:rPr>
        <w:t>综合实力显著增强，</w:t>
      </w:r>
      <w:r>
        <w:rPr>
          <w:rFonts w:hint="eastAsia" w:ascii="仿宋" w:hAnsi="仿宋" w:eastAsia="仿宋" w:cs="仿宋"/>
          <w:color w:val="FF0000"/>
          <w:sz w:val="30"/>
          <w:szCs w:val="30"/>
          <w:u w:val="none"/>
          <w:lang w:val="en-US" w:eastAsia="zh-CN"/>
        </w:rPr>
        <w:t>建成</w:t>
      </w:r>
      <w:r>
        <w:rPr>
          <w:rFonts w:hint="eastAsia" w:ascii="仿宋" w:hAnsi="仿宋" w:eastAsia="仿宋" w:cs="仿宋"/>
          <w:color w:val="0000FF"/>
          <w:sz w:val="30"/>
          <w:szCs w:val="30"/>
          <w:u w:val="none"/>
          <w:lang w:val="en-US" w:eastAsia="zh-CN"/>
        </w:rPr>
        <w:t>在省内外有重要影响、</w:t>
      </w:r>
      <w:r>
        <w:rPr>
          <w:rFonts w:hint="eastAsia" w:ascii="仿宋" w:hAnsi="仿宋" w:eastAsia="仿宋" w:cs="仿宋"/>
          <w:color w:val="FF0000"/>
          <w:sz w:val="30"/>
          <w:szCs w:val="30"/>
          <w:u w:val="none"/>
          <w:lang w:val="en-US" w:eastAsia="zh-CN"/>
        </w:rPr>
        <w:t>特色鲜明的</w:t>
      </w:r>
      <w:r>
        <w:rPr>
          <w:rFonts w:hint="eastAsia" w:ascii="仿宋" w:hAnsi="仿宋" w:eastAsia="仿宋" w:cs="仿宋"/>
          <w:color w:val="0000FF"/>
          <w:sz w:val="30"/>
          <w:szCs w:val="30"/>
        </w:rPr>
        <w:t>应用型</w:t>
      </w:r>
      <w:r>
        <w:rPr>
          <w:rFonts w:hint="eastAsia" w:ascii="仿宋" w:hAnsi="仿宋" w:eastAsia="仿宋" w:cs="仿宋"/>
          <w:color w:val="0000FF"/>
          <w:sz w:val="30"/>
          <w:szCs w:val="30"/>
          <w:lang w:eastAsia="zh-CN"/>
        </w:rPr>
        <w:t>区域知名</w:t>
      </w:r>
      <w:r>
        <w:rPr>
          <w:rFonts w:hint="eastAsia" w:ascii="仿宋" w:hAnsi="仿宋" w:eastAsia="仿宋" w:cs="仿宋"/>
          <w:color w:val="FF0000"/>
          <w:sz w:val="30"/>
          <w:szCs w:val="30"/>
          <w:u w:val="none"/>
          <w:lang w:val="en-US" w:eastAsia="zh-CN"/>
        </w:rPr>
        <w:t>本科高校。</w:t>
      </w:r>
      <w:bookmarkEnd w:id="38"/>
      <w:r>
        <w:rPr>
          <w:rFonts w:hint="eastAsia" w:ascii="仿宋" w:hAnsi="仿宋" w:eastAsia="仿宋" w:cs="仿宋"/>
          <w:color w:val="FF0000"/>
          <w:sz w:val="30"/>
          <w:szCs w:val="30"/>
          <w:u w:val="none"/>
          <w:lang w:val="en-US" w:eastAsia="zh-CN"/>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20" w:lineRule="exact"/>
        <w:ind w:firstLine="600" w:firstLineChars="200"/>
        <w:jc w:val="both"/>
        <w:textAlignment w:val="auto"/>
        <w:outlineLvl w:val="2"/>
        <w:rPr>
          <w:rFonts w:hint="default" w:ascii="仿宋" w:hAnsi="仿宋" w:eastAsia="仿宋" w:cs="仿宋"/>
          <w:color w:val="FF0000"/>
          <w:sz w:val="30"/>
          <w:szCs w:val="30"/>
          <w:u w:val="none"/>
          <w:lang w:val="en-US" w:eastAsia="zh-CN"/>
        </w:rPr>
      </w:pPr>
      <w:bookmarkStart w:id="39" w:name="_Toc12310"/>
      <w:r>
        <w:rPr>
          <w:rFonts w:hint="eastAsia" w:ascii="仿宋" w:hAnsi="仿宋" w:eastAsia="仿宋" w:cs="仿宋"/>
          <w:color w:val="FF0000"/>
          <w:sz w:val="30"/>
          <w:szCs w:val="30"/>
          <w:u w:val="none"/>
          <w:lang w:val="en-US" w:eastAsia="zh-CN"/>
        </w:rPr>
        <w:t>到2035年，办学特色更加鲜明，办学水平和综合实力进一步提升，社会影响力</w:t>
      </w:r>
      <w:r>
        <w:rPr>
          <w:rFonts w:hint="eastAsia" w:ascii="仿宋" w:hAnsi="仿宋" w:eastAsia="仿宋" w:cs="仿宋"/>
          <w:color w:val="0000FF"/>
          <w:sz w:val="30"/>
          <w:szCs w:val="30"/>
          <w:u w:val="none"/>
          <w:lang w:val="en-US" w:eastAsia="zh-CN"/>
        </w:rPr>
        <w:t>和核心竞争力全面</w:t>
      </w:r>
      <w:r>
        <w:rPr>
          <w:rFonts w:hint="eastAsia" w:ascii="仿宋" w:hAnsi="仿宋" w:eastAsia="仿宋" w:cs="仿宋"/>
          <w:color w:val="FF0000"/>
          <w:sz w:val="30"/>
          <w:szCs w:val="30"/>
          <w:u w:val="none"/>
          <w:lang w:val="en-US" w:eastAsia="zh-CN"/>
        </w:rPr>
        <w:t>增强，建成产业贡献力较大、创新应用能力较高、结构带动力较强，在国内有重要影响、神形兼备、特色鲜明的高水平应用型知名高校。</w:t>
      </w:r>
      <w:bookmarkEnd w:id="39"/>
    </w:p>
    <w:p>
      <w:pPr>
        <w:keepNext w:val="0"/>
        <w:keepLines w:val="0"/>
        <w:pageBreakBefore w:val="0"/>
        <w:widowControl/>
        <w:suppressLineNumbers w:val="0"/>
        <w:kinsoku/>
        <w:wordWrap/>
        <w:overflowPunct/>
        <w:topLinePunct w:val="0"/>
        <w:autoSpaceDE/>
        <w:autoSpaceDN/>
        <w:bidi w:val="0"/>
        <w:adjustRightInd/>
        <w:snapToGrid/>
        <w:spacing w:line="520" w:lineRule="exact"/>
        <w:ind w:left="0" w:leftChars="0" w:firstLine="602" w:firstLineChars="200"/>
        <w:jc w:val="both"/>
        <w:textAlignment w:val="auto"/>
        <w:outlineLvl w:val="2"/>
        <w:rPr>
          <w:rFonts w:hint="eastAsia" w:ascii="仿宋" w:hAnsi="仿宋" w:eastAsia="仿宋" w:cs="仿宋"/>
          <w:b/>
          <w:bCs/>
          <w:color w:val="000000" w:themeColor="text1"/>
          <w:sz w:val="30"/>
          <w:szCs w:val="30"/>
          <w:u w:val="none"/>
          <w:lang w:val="en-US" w:eastAsia="zh-CN"/>
          <w14:textFill>
            <w14:solidFill>
              <w14:schemeClr w14:val="tx1"/>
            </w14:solidFill>
          </w14:textFill>
        </w:rPr>
      </w:pPr>
      <w:bookmarkStart w:id="40" w:name="_Toc13542"/>
      <w:r>
        <w:rPr>
          <w:rFonts w:hint="eastAsia" w:ascii="仿宋" w:hAnsi="仿宋" w:eastAsia="仿宋" w:cs="仿宋"/>
          <w:b/>
          <w:bCs/>
          <w:color w:val="000000" w:themeColor="text1"/>
          <w:sz w:val="30"/>
          <w:szCs w:val="30"/>
          <w:u w:val="none"/>
          <w:lang w:val="en-US" w:eastAsia="zh-CN"/>
          <w14:textFill>
            <w14:solidFill>
              <w14:schemeClr w14:val="tx1"/>
            </w14:solidFill>
          </w14:textFill>
        </w:rPr>
        <w:t>3.</w:t>
      </w:r>
      <w:r>
        <w:rPr>
          <w:rFonts w:hint="eastAsia" w:ascii="仿宋" w:hAnsi="仿宋" w:eastAsia="仿宋" w:cs="仿宋"/>
          <w:b/>
          <w:bCs/>
          <w:color w:val="FF0000"/>
          <w:sz w:val="30"/>
          <w:szCs w:val="30"/>
          <w:u w:val="none"/>
          <w:lang w:val="en-US" w:eastAsia="zh-CN"/>
        </w:rPr>
        <w:t>“十四五”</w:t>
      </w:r>
      <w:r>
        <w:rPr>
          <w:rFonts w:hint="eastAsia" w:ascii="仿宋" w:hAnsi="仿宋" w:eastAsia="仿宋" w:cs="仿宋"/>
          <w:b/>
          <w:bCs/>
          <w:color w:val="000000" w:themeColor="text1"/>
          <w:sz w:val="30"/>
          <w:szCs w:val="30"/>
          <w:u w:val="none"/>
          <w:lang w:val="en-US" w:eastAsia="zh-CN"/>
          <w14:textFill>
            <w14:solidFill>
              <w14:schemeClr w14:val="tx1"/>
            </w14:solidFill>
          </w14:textFill>
        </w:rPr>
        <w:t>主要发展指标</w:t>
      </w:r>
      <w:bookmarkEnd w:id="40"/>
    </w:p>
    <w:p>
      <w:pPr>
        <w:keepNext w:val="0"/>
        <w:keepLines w:val="0"/>
        <w:pageBreakBefore w:val="0"/>
        <w:widowControl/>
        <w:suppressLineNumbers w:val="0"/>
        <w:kinsoku/>
        <w:wordWrap/>
        <w:overflowPunct/>
        <w:topLinePunct w:val="0"/>
        <w:autoSpaceDE/>
        <w:autoSpaceDN/>
        <w:bidi w:val="0"/>
        <w:adjustRightInd/>
        <w:snapToGrid/>
        <w:spacing w:line="520" w:lineRule="exact"/>
        <w:ind w:left="0" w:leftChars="0" w:firstLine="602" w:firstLineChars="200"/>
        <w:jc w:val="both"/>
        <w:textAlignment w:val="auto"/>
        <w:rPr>
          <w:rFonts w:hint="eastAsia" w:ascii="仿宋" w:hAnsi="仿宋" w:eastAsia="仿宋" w:cs="仿宋"/>
          <w:b/>
          <w:bCs/>
          <w:color w:val="000000" w:themeColor="text1"/>
          <w:sz w:val="30"/>
          <w:szCs w:val="30"/>
          <w:u w:val="none"/>
          <w:lang w:val="en-US" w:eastAsia="zh-CN"/>
          <w14:textFill>
            <w14:solidFill>
              <w14:schemeClr w14:val="tx1"/>
            </w14:solidFill>
          </w14:textFill>
        </w:rPr>
      </w:pPr>
      <w:r>
        <w:rPr>
          <w:rFonts w:hint="eastAsia" w:ascii="仿宋" w:hAnsi="仿宋" w:eastAsia="仿宋" w:cs="仿宋"/>
          <w:b/>
          <w:bCs/>
          <w:color w:val="000000" w:themeColor="text1"/>
          <w:sz w:val="30"/>
          <w:szCs w:val="30"/>
          <w:u w:val="none"/>
          <w:lang w:val="en-US" w:eastAsia="zh-CN"/>
          <w14:textFill>
            <w14:solidFill>
              <w14:schemeClr w14:val="tx1"/>
            </w14:solidFill>
          </w14:textFill>
        </w:rPr>
        <w:t xml:space="preserve">（1）办学规模 </w:t>
      </w:r>
    </w:p>
    <w:p>
      <w:pPr>
        <w:keepNext w:val="0"/>
        <w:keepLines w:val="0"/>
        <w:pageBreakBefore w:val="0"/>
        <w:widowControl/>
        <w:suppressLineNumbers w:val="0"/>
        <w:kinsoku/>
        <w:wordWrap/>
        <w:overflowPunct/>
        <w:topLinePunct w:val="0"/>
        <w:autoSpaceDE/>
        <w:autoSpaceDN/>
        <w:bidi w:val="0"/>
        <w:adjustRightInd/>
        <w:snapToGrid/>
        <w:spacing w:line="520" w:lineRule="exact"/>
        <w:ind w:left="0" w:leftChars="0" w:firstLine="600" w:firstLineChars="200"/>
        <w:jc w:val="both"/>
        <w:textAlignment w:val="auto"/>
        <w:rPr>
          <w:rFonts w:hint="eastAsia" w:ascii="仿宋" w:hAnsi="仿宋" w:eastAsia="仿宋" w:cs="仿宋"/>
          <w:color w:val="000000" w:themeColor="text1"/>
          <w:sz w:val="30"/>
          <w:szCs w:val="30"/>
          <w:u w:val="none"/>
          <w14:textFill>
            <w14:solidFill>
              <w14:schemeClr w14:val="tx1"/>
            </w14:solidFill>
          </w14:textFill>
        </w:rPr>
      </w:pPr>
      <w:r>
        <w:rPr>
          <w:rFonts w:hint="eastAsia" w:ascii="仿宋" w:hAnsi="仿宋" w:eastAsia="仿宋" w:cs="仿宋"/>
          <w:color w:val="000000" w:themeColor="text1"/>
          <w:kern w:val="0"/>
          <w:sz w:val="30"/>
          <w:szCs w:val="30"/>
          <w:u w:val="none"/>
          <w:lang w:val="en-US" w:eastAsia="zh-CN" w:bidi="ar"/>
          <w14:textFill>
            <w14:solidFill>
              <w14:schemeClr w14:val="tx1"/>
            </w14:solidFill>
          </w14:textFill>
        </w:rPr>
        <w:t>到2025年，全日制普通本科生达到18000人以上，普通专科生控制在4000人左右，在校生总规模达到22000 人</w:t>
      </w:r>
      <w:r>
        <w:rPr>
          <w:rFonts w:hint="eastAsia" w:ascii="仿宋" w:hAnsi="仿宋" w:eastAsia="仿宋" w:cs="仿宋"/>
          <w:color w:val="0000FF"/>
          <w:kern w:val="0"/>
          <w:sz w:val="30"/>
          <w:szCs w:val="30"/>
          <w:u w:val="none"/>
          <w:lang w:val="en-US" w:eastAsia="zh-CN" w:bidi="ar"/>
        </w:rPr>
        <w:t>左右</w:t>
      </w:r>
      <w:r>
        <w:rPr>
          <w:rFonts w:hint="eastAsia" w:ascii="仿宋" w:hAnsi="仿宋" w:eastAsia="仿宋" w:cs="仿宋"/>
          <w:color w:val="000000" w:themeColor="text1"/>
          <w:kern w:val="0"/>
          <w:sz w:val="30"/>
          <w:szCs w:val="30"/>
          <w:u w:val="none"/>
          <w:lang w:val="en-US" w:eastAsia="zh-CN" w:bidi="ar"/>
          <w14:textFill>
            <w14:solidFill>
              <w14:schemeClr w14:val="tx1"/>
            </w14:solidFill>
          </w14:textFill>
        </w:rPr>
        <w:t>，成人教育学生稳定在4000人左右，</w:t>
      </w:r>
      <w:r>
        <w:rPr>
          <w:rFonts w:hint="eastAsia" w:ascii="仿宋" w:hAnsi="仿宋" w:eastAsia="仿宋" w:cs="仿宋"/>
          <w:color w:val="0000FF"/>
          <w:kern w:val="0"/>
          <w:sz w:val="30"/>
          <w:szCs w:val="30"/>
          <w:u w:val="none"/>
          <w:lang w:val="en-US" w:eastAsia="zh-CN" w:bidi="ar"/>
        </w:rPr>
        <w:t>实现办学规模、结构、质量、效益协调统一</w:t>
      </w:r>
      <w:r>
        <w:rPr>
          <w:rFonts w:hint="eastAsia" w:ascii="仿宋" w:hAnsi="仿宋" w:eastAsia="仿宋" w:cs="仿宋"/>
          <w:color w:val="000000" w:themeColor="text1"/>
          <w:kern w:val="0"/>
          <w:sz w:val="30"/>
          <w:szCs w:val="30"/>
          <w:u w:val="none"/>
          <w:lang w:val="en-US" w:eastAsia="zh-CN" w:bidi="ar"/>
          <w14:textFill>
            <w14:solidFill>
              <w14:schemeClr w14:val="tx1"/>
            </w14:solidFill>
          </w14:textFill>
        </w:rPr>
        <w:t xml:space="preserve">。 </w:t>
      </w:r>
    </w:p>
    <w:p>
      <w:pPr>
        <w:keepNext w:val="0"/>
        <w:keepLines w:val="0"/>
        <w:pageBreakBefore w:val="0"/>
        <w:widowControl/>
        <w:suppressLineNumbers w:val="0"/>
        <w:kinsoku/>
        <w:wordWrap/>
        <w:overflowPunct/>
        <w:topLinePunct w:val="0"/>
        <w:autoSpaceDE/>
        <w:autoSpaceDN/>
        <w:bidi w:val="0"/>
        <w:adjustRightInd/>
        <w:snapToGrid/>
        <w:spacing w:line="520" w:lineRule="exact"/>
        <w:ind w:left="0" w:leftChars="0" w:firstLine="602" w:firstLineChars="200"/>
        <w:jc w:val="both"/>
        <w:textAlignment w:val="auto"/>
        <w:rPr>
          <w:rFonts w:hint="eastAsia" w:ascii="仿宋" w:hAnsi="仿宋" w:eastAsia="仿宋" w:cs="仿宋"/>
          <w:b/>
          <w:bCs/>
          <w:color w:val="000000" w:themeColor="text1"/>
          <w:kern w:val="0"/>
          <w:sz w:val="30"/>
          <w:szCs w:val="30"/>
          <w:u w:val="none"/>
          <w:lang w:val="en-US" w:eastAsia="zh-CN" w:bidi="ar"/>
          <w14:textFill>
            <w14:solidFill>
              <w14:schemeClr w14:val="tx1"/>
            </w14:solidFill>
          </w14:textFill>
        </w:rPr>
      </w:pPr>
      <w:r>
        <w:rPr>
          <w:rFonts w:hint="eastAsia" w:ascii="仿宋" w:hAnsi="仿宋" w:eastAsia="仿宋" w:cs="仿宋"/>
          <w:b/>
          <w:bCs/>
          <w:color w:val="000000" w:themeColor="text1"/>
          <w:kern w:val="0"/>
          <w:sz w:val="30"/>
          <w:szCs w:val="30"/>
          <w:u w:val="none"/>
          <w:lang w:val="en-US" w:eastAsia="zh-CN" w:bidi="ar"/>
          <w14:textFill>
            <w14:solidFill>
              <w14:schemeClr w14:val="tx1"/>
            </w14:solidFill>
          </w14:textFill>
        </w:rPr>
        <w:t xml:space="preserve">（2）学科专业 </w:t>
      </w:r>
    </w:p>
    <w:p>
      <w:pPr>
        <w:keepNext w:val="0"/>
        <w:keepLines w:val="0"/>
        <w:pageBreakBefore w:val="0"/>
        <w:kinsoku/>
        <w:wordWrap/>
        <w:overflowPunct/>
        <w:topLinePunct w:val="0"/>
        <w:autoSpaceDE/>
        <w:autoSpaceDN/>
        <w:bidi w:val="0"/>
        <w:adjustRightInd/>
        <w:snapToGrid/>
        <w:spacing w:line="520" w:lineRule="exact"/>
        <w:ind w:left="0" w:leftChars="0" w:firstLine="600" w:firstLineChars="200"/>
        <w:textAlignment w:val="auto"/>
        <w:rPr>
          <w:rFonts w:hint="eastAsia" w:ascii="仿宋" w:hAnsi="仿宋" w:eastAsia="仿宋" w:cs="仿宋"/>
          <w:b w:val="0"/>
          <w:bCs w:val="0"/>
          <w:color w:val="000000" w:themeColor="text1"/>
          <w:sz w:val="30"/>
          <w:szCs w:val="30"/>
          <w:u w:val="none"/>
          <w14:textFill>
            <w14:solidFill>
              <w14:schemeClr w14:val="tx1"/>
            </w14:solidFill>
          </w14:textFill>
        </w:rPr>
      </w:pPr>
      <w:r>
        <w:rPr>
          <w:rFonts w:hint="eastAsia" w:ascii="仿宋" w:hAnsi="仿宋" w:eastAsia="仿宋" w:cs="仿宋"/>
          <w:color w:val="000000" w:themeColor="text1"/>
          <w:kern w:val="0"/>
          <w:sz w:val="30"/>
          <w:szCs w:val="30"/>
          <w:u w:val="none"/>
          <w:lang w:val="en-US" w:eastAsia="zh-CN" w:bidi="ar"/>
          <w14:textFill>
            <w14:solidFill>
              <w14:schemeClr w14:val="tx1"/>
            </w14:solidFill>
          </w14:textFill>
        </w:rPr>
        <w:t>到2025年，力争新增本科专业15个左右，使学校本科专业总数达到</w:t>
      </w:r>
      <w:r>
        <w:rPr>
          <w:rFonts w:hint="eastAsia" w:ascii="仿宋" w:hAnsi="仿宋" w:eastAsia="仿宋" w:cs="仿宋"/>
          <w:color w:val="FF0000"/>
          <w:kern w:val="0"/>
          <w:sz w:val="30"/>
          <w:szCs w:val="30"/>
          <w:u w:val="none"/>
          <w:lang w:val="en-US" w:eastAsia="zh-CN" w:bidi="ar"/>
        </w:rPr>
        <w:t>50个左右</w:t>
      </w:r>
      <w:r>
        <w:rPr>
          <w:rFonts w:hint="eastAsia" w:ascii="仿宋" w:hAnsi="仿宋" w:eastAsia="仿宋" w:cs="仿宋"/>
          <w:color w:val="000000" w:themeColor="text1"/>
          <w:kern w:val="0"/>
          <w:sz w:val="30"/>
          <w:szCs w:val="30"/>
          <w:u w:val="none"/>
          <w:lang w:val="en-US" w:eastAsia="zh-CN" w:bidi="ar"/>
          <w14:textFill>
            <w14:solidFill>
              <w14:schemeClr w14:val="tx1"/>
            </w14:solidFill>
          </w14:textFill>
        </w:rPr>
        <w:t>，专</w:t>
      </w:r>
      <w:r>
        <w:rPr>
          <w:rFonts w:hint="eastAsia" w:ascii="仿宋" w:hAnsi="仿宋" w:eastAsia="仿宋" w:cs="仿宋"/>
          <w:color w:val="000000" w:themeColor="text1"/>
          <w:sz w:val="30"/>
          <w:szCs w:val="30"/>
          <w:u w:val="none"/>
          <w14:textFill>
            <w14:solidFill>
              <w14:schemeClr w14:val="tx1"/>
            </w14:solidFill>
          </w14:textFill>
        </w:rPr>
        <w:t>科招生专业控制在</w:t>
      </w:r>
      <w:r>
        <w:rPr>
          <w:rFonts w:hint="eastAsia" w:ascii="仿宋" w:hAnsi="仿宋" w:eastAsia="仿宋" w:cs="仿宋"/>
          <w:color w:val="000000" w:themeColor="text1"/>
          <w:sz w:val="30"/>
          <w:szCs w:val="30"/>
          <w:u w:val="none"/>
          <w:lang w:val="en-US" w:eastAsia="zh-CN"/>
          <w14:textFill>
            <w14:solidFill>
              <w14:schemeClr w14:val="tx1"/>
            </w14:solidFill>
          </w14:textFill>
        </w:rPr>
        <w:t>10</w:t>
      </w:r>
      <w:r>
        <w:rPr>
          <w:rFonts w:hint="eastAsia" w:ascii="仿宋" w:hAnsi="仿宋" w:eastAsia="仿宋" w:cs="仿宋"/>
          <w:color w:val="000000" w:themeColor="text1"/>
          <w:sz w:val="30"/>
          <w:szCs w:val="30"/>
          <w:u w:val="none"/>
          <w14:textFill>
            <w14:solidFill>
              <w14:schemeClr w14:val="tx1"/>
            </w14:solidFill>
          </w14:textFill>
        </w:rPr>
        <w:t>个左右</w:t>
      </w:r>
      <w:r>
        <w:rPr>
          <w:rFonts w:hint="eastAsia" w:ascii="仿宋" w:hAnsi="仿宋" w:eastAsia="仿宋" w:cs="仿宋"/>
          <w:color w:val="000000" w:themeColor="text1"/>
          <w:kern w:val="0"/>
          <w:sz w:val="30"/>
          <w:szCs w:val="30"/>
          <w:u w:val="none"/>
          <w:lang w:val="en-US" w:eastAsia="zh-CN" w:bidi="ar"/>
          <w14:textFill>
            <w14:solidFill>
              <w14:schemeClr w14:val="tx1"/>
            </w14:solidFill>
          </w14:textFill>
        </w:rPr>
        <w:t>；</w:t>
      </w:r>
      <w:r>
        <w:rPr>
          <w:rFonts w:hint="eastAsia" w:ascii="仿宋" w:hAnsi="仿宋" w:eastAsia="仿宋" w:cs="仿宋"/>
          <w:b w:val="0"/>
          <w:bCs w:val="0"/>
          <w:color w:val="000000" w:themeColor="text1"/>
          <w:kern w:val="0"/>
          <w:sz w:val="30"/>
          <w:szCs w:val="30"/>
          <w:u w:val="none"/>
          <w:lang w:val="en-US" w:eastAsia="zh-CN" w:bidi="ar"/>
          <w14:textFill>
            <w14:solidFill>
              <w14:schemeClr w14:val="tx1"/>
            </w14:solidFill>
          </w14:textFill>
        </w:rPr>
        <w:t>以新农科建设为主导的“四新”专业数量达到 10 个左右；力争</w:t>
      </w:r>
      <w:r>
        <w:rPr>
          <w:rFonts w:hint="eastAsia" w:ascii="仿宋" w:hAnsi="仿宋" w:eastAsia="仿宋" w:cs="仿宋"/>
          <w:color w:val="000000" w:themeColor="text1"/>
          <w:kern w:val="0"/>
          <w:sz w:val="30"/>
          <w:szCs w:val="30"/>
          <w:u w:val="none"/>
          <w:lang w:val="en-US" w:eastAsia="zh-CN" w:bidi="ar"/>
          <w14:textFill>
            <w14:solidFill>
              <w14:schemeClr w14:val="tx1"/>
            </w14:solidFill>
          </w14:textFill>
        </w:rPr>
        <w:t>建设河南省重点学科培育学科3个以上，河南省“一流本科”专业建设点总体达到10个左</w:t>
      </w:r>
      <w:r>
        <w:rPr>
          <w:rFonts w:hint="eastAsia" w:ascii="仿宋" w:hAnsi="仿宋" w:eastAsia="仿宋" w:cs="仿宋"/>
          <w:b w:val="0"/>
          <w:bCs w:val="0"/>
          <w:color w:val="000000" w:themeColor="text1"/>
          <w:kern w:val="0"/>
          <w:sz w:val="30"/>
          <w:szCs w:val="30"/>
          <w:u w:val="none"/>
          <w:lang w:val="en-US" w:eastAsia="zh-CN" w:bidi="ar"/>
          <w14:textFill>
            <w14:solidFill>
              <w14:schemeClr w14:val="tx1"/>
            </w14:solidFill>
          </w14:textFill>
        </w:rPr>
        <w:t xml:space="preserve">右，力争国家级“一流本科”建设点有所突破。 </w:t>
      </w:r>
    </w:p>
    <w:p>
      <w:pPr>
        <w:keepNext w:val="0"/>
        <w:keepLines w:val="0"/>
        <w:pageBreakBefore w:val="0"/>
        <w:widowControl/>
        <w:suppressLineNumbers w:val="0"/>
        <w:kinsoku/>
        <w:wordWrap/>
        <w:overflowPunct/>
        <w:topLinePunct w:val="0"/>
        <w:autoSpaceDE/>
        <w:autoSpaceDN/>
        <w:bidi w:val="0"/>
        <w:adjustRightInd/>
        <w:snapToGrid/>
        <w:spacing w:line="520" w:lineRule="exact"/>
        <w:ind w:left="0" w:leftChars="0" w:firstLine="602" w:firstLineChars="200"/>
        <w:jc w:val="both"/>
        <w:textAlignment w:val="auto"/>
        <w:rPr>
          <w:rFonts w:hint="eastAsia" w:ascii="仿宋" w:hAnsi="仿宋" w:eastAsia="仿宋" w:cs="仿宋"/>
          <w:b/>
          <w:bCs/>
          <w:color w:val="000000" w:themeColor="text1"/>
          <w:kern w:val="0"/>
          <w:sz w:val="30"/>
          <w:szCs w:val="30"/>
          <w:u w:val="none"/>
          <w:lang w:val="en-US" w:eastAsia="zh-CN" w:bidi="ar"/>
          <w14:textFill>
            <w14:solidFill>
              <w14:schemeClr w14:val="tx1"/>
            </w14:solidFill>
          </w14:textFill>
        </w:rPr>
      </w:pPr>
      <w:r>
        <w:rPr>
          <w:rFonts w:hint="eastAsia" w:ascii="仿宋" w:hAnsi="仿宋" w:eastAsia="仿宋" w:cs="仿宋"/>
          <w:b/>
          <w:bCs/>
          <w:color w:val="000000" w:themeColor="text1"/>
          <w:kern w:val="0"/>
          <w:sz w:val="30"/>
          <w:szCs w:val="30"/>
          <w:u w:val="none"/>
          <w:lang w:val="en-US" w:eastAsia="zh-CN" w:bidi="ar"/>
          <w14:textFill>
            <w14:solidFill>
              <w14:schemeClr w14:val="tx1"/>
            </w14:solidFill>
          </w14:textFill>
        </w:rPr>
        <w:t xml:space="preserve">（3）师资队伍 </w:t>
      </w:r>
    </w:p>
    <w:p>
      <w:pPr>
        <w:keepNext w:val="0"/>
        <w:keepLines w:val="0"/>
        <w:pageBreakBefore w:val="0"/>
        <w:widowControl/>
        <w:suppressLineNumbers w:val="0"/>
        <w:kinsoku/>
        <w:wordWrap/>
        <w:overflowPunct/>
        <w:topLinePunct w:val="0"/>
        <w:autoSpaceDE/>
        <w:autoSpaceDN/>
        <w:bidi w:val="0"/>
        <w:adjustRightInd/>
        <w:snapToGrid/>
        <w:spacing w:line="520" w:lineRule="exact"/>
        <w:ind w:left="0" w:leftChars="0" w:firstLine="600" w:firstLineChars="200"/>
        <w:jc w:val="both"/>
        <w:textAlignment w:val="auto"/>
        <w:rPr>
          <w:rFonts w:hint="eastAsia" w:ascii="仿宋" w:hAnsi="仿宋" w:eastAsia="仿宋" w:cs="仿宋"/>
          <w:color w:val="000000" w:themeColor="text1"/>
          <w:kern w:val="0"/>
          <w:sz w:val="30"/>
          <w:szCs w:val="30"/>
          <w:u w:val="none"/>
          <w:lang w:val="en-US" w:eastAsia="zh-CN" w:bidi="ar"/>
          <w14:textFill>
            <w14:solidFill>
              <w14:schemeClr w14:val="tx1"/>
            </w14:solidFill>
          </w14:textFill>
        </w:rPr>
      </w:pPr>
      <w:r>
        <w:rPr>
          <w:rFonts w:hint="eastAsia" w:ascii="仿宋" w:hAnsi="仿宋" w:eastAsia="仿宋" w:cs="仿宋"/>
          <w:color w:val="000000" w:themeColor="text1"/>
          <w:kern w:val="0"/>
          <w:sz w:val="30"/>
          <w:szCs w:val="30"/>
          <w:u w:val="none"/>
          <w:lang w:val="en-US" w:eastAsia="zh-CN" w:bidi="ar"/>
          <w14:textFill>
            <w14:solidFill>
              <w14:schemeClr w14:val="tx1"/>
            </w14:solidFill>
          </w14:textFill>
        </w:rPr>
        <w:t>到2025年，专任教师达到1200人</w:t>
      </w:r>
      <w:r>
        <w:rPr>
          <w:rFonts w:hint="eastAsia" w:ascii="仿宋" w:hAnsi="仿宋" w:eastAsia="仿宋" w:cs="仿宋"/>
          <w:b w:val="0"/>
          <w:bCs w:val="0"/>
          <w:color w:val="000000" w:themeColor="text1"/>
          <w:kern w:val="0"/>
          <w:sz w:val="30"/>
          <w:szCs w:val="30"/>
          <w:u w:val="none"/>
          <w:lang w:val="en-US" w:eastAsia="zh-CN" w:bidi="ar"/>
          <w14:textFill>
            <w14:solidFill>
              <w14:schemeClr w14:val="tx1"/>
            </w14:solidFill>
          </w14:textFill>
        </w:rPr>
        <w:t>以上</w:t>
      </w:r>
      <w:r>
        <w:rPr>
          <w:rFonts w:hint="eastAsia" w:ascii="仿宋" w:hAnsi="仿宋" w:eastAsia="仿宋" w:cs="仿宋"/>
          <w:color w:val="000000" w:themeColor="text1"/>
          <w:kern w:val="0"/>
          <w:sz w:val="30"/>
          <w:szCs w:val="30"/>
          <w:u w:val="none"/>
          <w:lang w:val="en-US" w:eastAsia="zh-CN" w:bidi="ar"/>
          <w14:textFill>
            <w14:solidFill>
              <w14:schemeClr w14:val="tx1"/>
            </w14:solidFill>
          </w14:textFill>
        </w:rPr>
        <w:t>，其中高级职称教师达到 410</w:t>
      </w:r>
      <w:r>
        <w:rPr>
          <w:rFonts w:hint="eastAsia" w:ascii="仿宋" w:hAnsi="仿宋" w:eastAsia="仿宋" w:cs="仿宋"/>
          <w:b w:val="0"/>
          <w:bCs w:val="0"/>
          <w:color w:val="000000" w:themeColor="text1"/>
          <w:kern w:val="0"/>
          <w:sz w:val="30"/>
          <w:szCs w:val="30"/>
          <w:u w:val="none"/>
          <w:lang w:val="en-US" w:eastAsia="zh-CN" w:bidi="ar"/>
          <w14:textFill>
            <w14:solidFill>
              <w14:schemeClr w14:val="tx1"/>
            </w14:solidFill>
          </w14:textFill>
        </w:rPr>
        <w:t>人以上，占专任教师比例达到30%以上；具有研究生学历学位教师占专任教师比例达到90%以上，争取引进和培养200名左右博士；省级和市厅级学术技术带头人、省高校青年骨干教师及学科领军人才等高层次人才队伍总体上达到100人左右；“双师双能型”教师队伍占专任教师比例达到60%左右；新建由知名专家和学科带头人领军的结构合理的高水平教学团队30个左右、科技创新与服务团队40个左右。总体上建成一支师德高尚、素质优良，学历结构、职称结构、学缘结构及能力结构更</w:t>
      </w:r>
      <w:r>
        <w:rPr>
          <w:rFonts w:hint="eastAsia" w:ascii="仿宋" w:hAnsi="仿宋" w:eastAsia="仿宋" w:cs="仿宋"/>
          <w:color w:val="000000" w:themeColor="text1"/>
          <w:kern w:val="0"/>
          <w:sz w:val="30"/>
          <w:szCs w:val="30"/>
          <w:u w:val="none"/>
          <w:lang w:val="en-US" w:eastAsia="zh-CN" w:bidi="ar"/>
          <w14:textFill>
            <w14:solidFill>
              <w14:schemeClr w14:val="tx1"/>
            </w14:solidFill>
          </w14:textFill>
        </w:rPr>
        <w:t>加合理，能够适应和满足教学科研需求及高素质应用型人才培养需要的教师队伍。</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20" w:lineRule="exact"/>
        <w:ind w:firstLine="602" w:firstLineChars="200"/>
        <w:jc w:val="both"/>
        <w:textAlignment w:val="auto"/>
        <w:rPr>
          <w:rFonts w:hint="eastAsia" w:ascii="仿宋" w:hAnsi="仿宋" w:eastAsia="仿宋" w:cs="仿宋"/>
          <w:b/>
          <w:color w:val="000000" w:themeColor="text1"/>
          <w:kern w:val="0"/>
          <w:sz w:val="30"/>
          <w:szCs w:val="30"/>
          <w:u w:val="none"/>
          <w:lang w:val="en-US" w:eastAsia="zh-CN" w:bidi="ar"/>
          <w14:textFill>
            <w14:solidFill>
              <w14:schemeClr w14:val="tx1"/>
            </w14:solidFill>
          </w14:textFill>
        </w:rPr>
      </w:pPr>
      <w:r>
        <w:rPr>
          <w:rFonts w:hint="eastAsia" w:ascii="仿宋" w:hAnsi="仿宋" w:eastAsia="仿宋" w:cs="仿宋"/>
          <w:b/>
          <w:color w:val="000000" w:themeColor="text1"/>
          <w:kern w:val="0"/>
          <w:sz w:val="30"/>
          <w:szCs w:val="30"/>
          <w:u w:val="none"/>
          <w:lang w:val="en-US" w:eastAsia="zh-CN" w:bidi="ar"/>
          <w14:textFill>
            <w14:solidFill>
              <w14:schemeClr w14:val="tx1"/>
            </w14:solidFill>
          </w14:textFill>
        </w:rPr>
        <w:t xml:space="preserve">（4）人才培养 </w:t>
      </w:r>
    </w:p>
    <w:p>
      <w:pPr>
        <w:keepNext w:val="0"/>
        <w:keepLines w:val="0"/>
        <w:pageBreakBefore w:val="0"/>
        <w:kinsoku/>
        <w:wordWrap/>
        <w:overflowPunct/>
        <w:topLinePunct w:val="0"/>
        <w:autoSpaceDE/>
        <w:autoSpaceDN/>
        <w:bidi w:val="0"/>
        <w:adjustRightInd/>
        <w:snapToGrid/>
        <w:spacing w:line="520" w:lineRule="exact"/>
        <w:ind w:left="0" w:leftChars="0" w:firstLine="600" w:firstLineChars="200"/>
        <w:textAlignment w:val="auto"/>
        <w:rPr>
          <w:rFonts w:hint="eastAsia" w:ascii="仿宋" w:hAnsi="仿宋" w:eastAsia="仿宋" w:cs="仿宋"/>
          <w:color w:val="000000" w:themeColor="text1"/>
          <w:sz w:val="30"/>
          <w:szCs w:val="30"/>
          <w:u w:val="none"/>
          <w14:textFill>
            <w14:solidFill>
              <w14:schemeClr w14:val="tx1"/>
            </w14:solidFill>
          </w14:textFill>
        </w:rPr>
      </w:pPr>
      <w:r>
        <w:rPr>
          <w:rFonts w:hint="eastAsia" w:ascii="仿宋" w:hAnsi="仿宋" w:eastAsia="仿宋" w:cs="仿宋"/>
          <w:color w:val="000000" w:themeColor="text1"/>
          <w:kern w:val="0"/>
          <w:sz w:val="30"/>
          <w:szCs w:val="30"/>
          <w:u w:val="none"/>
          <w:lang w:val="en-US" w:eastAsia="zh-CN" w:bidi="ar"/>
          <w14:textFill>
            <w14:solidFill>
              <w14:schemeClr w14:val="tx1"/>
            </w14:solidFill>
          </w14:textFill>
        </w:rPr>
        <w:t>到2025年，争取省级教改项目总数达到30项左右，努力争取省级教学成果奖10项左右；争取省级</w:t>
      </w:r>
      <w:bookmarkStart w:id="41" w:name="OLE_LINK17"/>
      <w:r>
        <w:rPr>
          <w:rFonts w:hint="eastAsia" w:ascii="仿宋" w:hAnsi="仿宋" w:eastAsia="仿宋" w:cs="仿宋"/>
          <w:color w:val="000000" w:themeColor="text1"/>
          <w:kern w:val="0"/>
          <w:sz w:val="30"/>
          <w:szCs w:val="30"/>
          <w:u w:val="none"/>
          <w:lang w:val="en-US" w:eastAsia="zh-CN" w:bidi="ar"/>
          <w14:textFill>
            <w14:solidFill>
              <w14:schemeClr w14:val="tx1"/>
            </w14:solidFill>
          </w14:textFill>
        </w:rPr>
        <w:t>实验教学示范中心</w:t>
      </w:r>
      <w:bookmarkEnd w:id="41"/>
      <w:r>
        <w:rPr>
          <w:rFonts w:hint="eastAsia" w:ascii="仿宋" w:hAnsi="仿宋" w:eastAsia="仿宋" w:cs="仿宋"/>
          <w:color w:val="000000" w:themeColor="text1"/>
          <w:kern w:val="0"/>
          <w:sz w:val="30"/>
          <w:szCs w:val="30"/>
          <w:u w:val="none"/>
          <w:lang w:val="en-US" w:eastAsia="zh-CN" w:bidi="ar"/>
          <w14:textFill>
            <w14:solidFill>
              <w14:schemeClr w14:val="tx1"/>
            </w14:solidFill>
          </w14:textFill>
        </w:rPr>
        <w:t>2-3个，省级虚拟仿真实验建设点2个以上；每个本科专业要建设5门</w:t>
      </w:r>
      <w:r>
        <w:rPr>
          <w:rFonts w:hint="eastAsia" w:ascii="仿宋" w:hAnsi="仿宋" w:eastAsia="仿宋" w:cs="仿宋"/>
          <w:color w:val="0000FF"/>
          <w:kern w:val="0"/>
          <w:sz w:val="30"/>
          <w:szCs w:val="30"/>
          <w:u w:val="none"/>
          <w:lang w:val="en-US" w:eastAsia="zh-CN" w:bidi="ar"/>
        </w:rPr>
        <w:t>以上</w:t>
      </w:r>
      <w:r>
        <w:rPr>
          <w:rFonts w:hint="eastAsia" w:ascii="仿宋" w:hAnsi="仿宋" w:eastAsia="仿宋" w:cs="仿宋"/>
          <w:color w:val="000000" w:themeColor="text1"/>
          <w:kern w:val="0"/>
          <w:sz w:val="30"/>
          <w:szCs w:val="30"/>
          <w:u w:val="none"/>
          <w:lang w:val="en-US" w:eastAsia="zh-CN" w:bidi="ar"/>
          <w14:textFill>
            <w14:solidFill>
              <w14:schemeClr w14:val="tx1"/>
            </w14:solidFill>
          </w14:textFill>
        </w:rPr>
        <w:t>专业优秀核心课程、1-2门校企合作开发在线开放课程，建设校级精品在线课程30门以上，力争省级线上线下精品课程达到5-8门。</w:t>
      </w:r>
      <w:r>
        <w:rPr>
          <w:rFonts w:hint="eastAsia" w:ascii="仿宋" w:hAnsi="仿宋" w:eastAsia="仿宋" w:cs="仿宋"/>
          <w:color w:val="000000" w:themeColor="text1"/>
          <w:kern w:val="0"/>
          <w:sz w:val="32"/>
          <w:szCs w:val="32"/>
          <w:u w:val="none"/>
          <w:lang w:val="en-US" w:eastAsia="zh-CN" w:bidi="ar"/>
          <w14:textFill>
            <w14:solidFill>
              <w14:schemeClr w14:val="tx1"/>
            </w14:solidFill>
          </w14:textFill>
        </w:rPr>
        <w:t>争取“十四五”国家级、省级规划教材3-5部</w:t>
      </w:r>
      <w:r>
        <w:rPr>
          <w:rFonts w:hint="eastAsia" w:ascii="仿宋" w:hAnsi="仿宋" w:eastAsia="仿宋" w:cs="仿宋"/>
          <w:color w:val="000000" w:themeColor="text1"/>
          <w:kern w:val="0"/>
          <w:sz w:val="30"/>
          <w:szCs w:val="30"/>
          <w:u w:val="none"/>
          <w:lang w:val="en-US" w:eastAsia="zh-CN" w:bidi="ar"/>
          <w14:textFill>
            <w14:solidFill>
              <w14:schemeClr w14:val="tx1"/>
            </w14:solidFill>
          </w14:textFill>
        </w:rPr>
        <w:t>；</w:t>
      </w:r>
      <w:r>
        <w:rPr>
          <w:rFonts w:hint="eastAsia" w:ascii="仿宋" w:hAnsi="仿宋" w:eastAsia="仿宋" w:cs="仿宋"/>
          <w:color w:val="0000FF"/>
          <w:kern w:val="0"/>
          <w:sz w:val="30"/>
          <w:szCs w:val="30"/>
          <w:u w:val="none"/>
          <w:lang w:val="en-US" w:eastAsia="zh-CN" w:bidi="ar"/>
        </w:rPr>
        <w:t>毕业生</w:t>
      </w:r>
      <w:r>
        <w:rPr>
          <w:rFonts w:hint="eastAsia" w:ascii="仿宋" w:hAnsi="仿宋" w:eastAsia="仿宋" w:cs="仿宋"/>
          <w:color w:val="000000" w:themeColor="text1"/>
          <w:kern w:val="0"/>
          <w:sz w:val="30"/>
          <w:szCs w:val="30"/>
          <w:u w:val="none"/>
          <w:lang w:val="en-US" w:eastAsia="zh-CN" w:bidi="ar"/>
          <w14:textFill>
            <w14:solidFill>
              <w14:schemeClr w14:val="tx1"/>
            </w14:solidFill>
          </w14:textFill>
        </w:rPr>
        <w:t>就业率和就业质量</w:t>
      </w:r>
      <w:r>
        <w:rPr>
          <w:rFonts w:hint="eastAsia" w:ascii="仿宋" w:hAnsi="仿宋" w:eastAsia="仿宋" w:cs="仿宋"/>
          <w:color w:val="0000FF"/>
          <w:kern w:val="0"/>
          <w:sz w:val="30"/>
          <w:szCs w:val="30"/>
          <w:u w:val="none"/>
          <w:lang w:val="en-US" w:eastAsia="zh-CN" w:bidi="ar"/>
        </w:rPr>
        <w:t>稳步</w:t>
      </w:r>
      <w:r>
        <w:rPr>
          <w:rFonts w:hint="eastAsia" w:ascii="仿宋" w:hAnsi="仿宋" w:eastAsia="仿宋" w:cs="仿宋"/>
          <w:color w:val="000000" w:themeColor="text1"/>
          <w:kern w:val="0"/>
          <w:sz w:val="30"/>
          <w:szCs w:val="30"/>
          <w:u w:val="none"/>
          <w:lang w:val="en-US" w:eastAsia="zh-CN" w:bidi="ar"/>
          <w14:textFill>
            <w14:solidFill>
              <w14:schemeClr w14:val="tx1"/>
            </w14:solidFill>
          </w14:textFill>
        </w:rPr>
        <w:t>提升，国家学生体质健康标准测试成绩逐年提升；</w:t>
      </w:r>
      <w:r>
        <w:rPr>
          <w:rFonts w:hint="eastAsia" w:ascii="仿宋" w:hAnsi="仿宋" w:eastAsia="仿宋" w:cs="仿宋"/>
          <w:b w:val="0"/>
          <w:bCs w:val="0"/>
          <w:color w:val="000000" w:themeColor="text1"/>
          <w:kern w:val="0"/>
          <w:sz w:val="30"/>
          <w:szCs w:val="30"/>
          <w:u w:val="none"/>
          <w:lang w:val="en-US" w:eastAsia="zh-CN" w:bidi="ar"/>
          <w14:textFill>
            <w14:solidFill>
              <w14:schemeClr w14:val="tx1"/>
            </w14:solidFill>
          </w14:textFill>
        </w:rPr>
        <w:t>全国大学生“互联网+”创业与创新大赛、</w:t>
      </w:r>
      <w:r>
        <w:rPr>
          <w:rFonts w:hint="eastAsia" w:ascii="仿宋" w:hAnsi="仿宋" w:eastAsia="仿宋" w:cs="仿宋"/>
          <w:color w:val="000000" w:themeColor="text1"/>
          <w:kern w:val="0"/>
          <w:sz w:val="30"/>
          <w:szCs w:val="30"/>
          <w:u w:val="none"/>
          <w:lang w:val="en-US" w:eastAsia="zh-CN" w:bidi="ar"/>
          <w14:textFill>
            <w14:solidFill>
              <w14:schemeClr w14:val="tx1"/>
            </w14:solidFill>
          </w14:textFill>
        </w:rPr>
        <w:t>“挑战杯”大学生科技竞赛、电子设计竞赛等获国家级奖励40项以上；以新农科建设为主导、校企协同育人为重点的人才培养模式改革取得新突破。</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20" w:lineRule="exact"/>
        <w:ind w:left="0" w:leftChars="0" w:firstLine="602" w:firstLineChars="200"/>
        <w:jc w:val="both"/>
        <w:textAlignment w:val="auto"/>
        <w:rPr>
          <w:rFonts w:hint="eastAsia" w:ascii="仿宋" w:hAnsi="仿宋" w:eastAsia="仿宋" w:cs="仿宋"/>
          <w:b/>
          <w:bCs/>
          <w:color w:val="000000" w:themeColor="text1"/>
          <w:kern w:val="0"/>
          <w:sz w:val="30"/>
          <w:szCs w:val="30"/>
          <w:u w:val="none"/>
          <w:lang w:val="en-US" w:eastAsia="zh-CN" w:bidi="ar"/>
          <w14:textFill>
            <w14:solidFill>
              <w14:schemeClr w14:val="tx1"/>
            </w14:solidFill>
          </w14:textFill>
        </w:rPr>
      </w:pPr>
      <w:r>
        <w:rPr>
          <w:rFonts w:hint="eastAsia" w:ascii="仿宋" w:hAnsi="仿宋" w:eastAsia="仿宋" w:cs="仿宋"/>
          <w:b/>
          <w:bCs/>
          <w:color w:val="000000" w:themeColor="text1"/>
          <w:kern w:val="0"/>
          <w:sz w:val="30"/>
          <w:szCs w:val="30"/>
          <w:u w:val="none"/>
          <w:lang w:val="en-US" w:eastAsia="zh-CN" w:bidi="ar"/>
          <w14:textFill>
            <w14:solidFill>
              <w14:schemeClr w14:val="tx1"/>
            </w14:solidFill>
          </w14:textFill>
        </w:rPr>
        <w:t>（5）产教融合与科学研究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20" w:lineRule="exact"/>
        <w:ind w:left="0" w:leftChars="0" w:firstLine="600" w:firstLineChars="200"/>
        <w:jc w:val="both"/>
        <w:textAlignment w:val="auto"/>
        <w:rPr>
          <w:rFonts w:hint="eastAsia" w:ascii="仿宋" w:hAnsi="仿宋" w:eastAsia="仿宋" w:cs="仿宋"/>
          <w:color w:val="000000" w:themeColor="text1"/>
          <w:kern w:val="0"/>
          <w:sz w:val="30"/>
          <w:szCs w:val="30"/>
          <w:u w:val="none"/>
          <w:lang w:val="en-US" w:eastAsia="zh-CN" w:bidi="ar"/>
          <w14:textFill>
            <w14:solidFill>
              <w14:schemeClr w14:val="tx1"/>
            </w14:solidFill>
          </w14:textFill>
        </w:rPr>
      </w:pPr>
      <w:r>
        <w:rPr>
          <w:rFonts w:hint="eastAsia" w:ascii="仿宋" w:hAnsi="仿宋" w:eastAsia="仿宋" w:cs="仿宋"/>
          <w:color w:val="000000" w:themeColor="text1"/>
          <w:kern w:val="0"/>
          <w:sz w:val="30"/>
          <w:szCs w:val="30"/>
          <w:u w:val="none"/>
          <w:lang w:val="en-US" w:eastAsia="zh-CN" w:bidi="ar"/>
          <w14:textFill>
            <w14:solidFill>
              <w14:schemeClr w14:val="tx1"/>
            </w14:solidFill>
          </w14:textFill>
        </w:rPr>
        <w:t>到2025年，争取获批国家级、省部级科技创新团队5-10 个；争取新建国家级科技创新平台1个、积极筹建申报国家级平台1个、国家级高技能人才培训基地1个。新增省（部）级工程技术研究中心</w:t>
      </w:r>
      <w:r>
        <w:rPr>
          <w:rFonts w:hint="eastAsia" w:ascii="仿宋" w:hAnsi="仿宋" w:eastAsia="仿宋" w:cs="仿宋"/>
          <w:b w:val="0"/>
          <w:bCs w:val="0"/>
          <w:color w:val="000000" w:themeColor="text1"/>
          <w:kern w:val="0"/>
          <w:sz w:val="30"/>
          <w:szCs w:val="30"/>
          <w:u w:val="none"/>
          <w:lang w:val="en-US" w:eastAsia="zh-CN" w:bidi="ar"/>
          <w14:textFill>
            <w14:solidFill>
              <w14:schemeClr w14:val="tx1"/>
            </w14:solidFill>
          </w14:textFill>
        </w:rPr>
        <w:t>10个左右，新增省（部）级重点实验室1-2个，新增市级重点实验室5-10个，市级工程技术研究中心10-15个；力争实现国家基金项目新增1-2项，国家级项目新增5-10项，省（部）级项目新增100项左右，市（厅）级项目新增600-700项，科研经费年增长10%左右；力争省（部）级科技进步奖和社科成果奖5-8项，新增市（厅）级以上科研成果奖150-200项；在北大中文核</w:t>
      </w:r>
      <w:r>
        <w:rPr>
          <w:rFonts w:hint="eastAsia" w:ascii="仿宋" w:hAnsi="仿宋" w:eastAsia="仿宋" w:cs="仿宋"/>
          <w:color w:val="000000" w:themeColor="text1"/>
          <w:kern w:val="0"/>
          <w:sz w:val="30"/>
          <w:szCs w:val="30"/>
          <w:u w:val="none"/>
          <w:lang w:val="en-US" w:eastAsia="zh-CN" w:bidi="ar"/>
          <w14:textFill>
            <w14:solidFill>
              <w14:schemeClr w14:val="tx1"/>
            </w14:solidFill>
          </w14:textFill>
        </w:rPr>
        <w:t>心期刊以及CSSCI收录论文新增1000篇以上，其中被国际三大检索系统收录100篇以上。紧密结合大别山革命老区振兴发展、淮河流域生态经济带建设及服务</w:t>
      </w:r>
      <w:r>
        <w:rPr>
          <w:rFonts w:hint="eastAsia" w:ascii="仿宋" w:hAnsi="仿宋" w:eastAsia="仿宋" w:cs="仿宋"/>
          <w:b w:val="0"/>
          <w:bCs w:val="0"/>
          <w:color w:val="000000" w:themeColor="text1"/>
          <w:kern w:val="0"/>
          <w:sz w:val="30"/>
          <w:szCs w:val="30"/>
          <w:u w:val="none"/>
          <w:lang w:val="en-US" w:eastAsia="zh-CN" w:bidi="ar"/>
          <w14:textFill>
            <w14:solidFill>
              <w14:schemeClr w14:val="tx1"/>
            </w14:solidFill>
          </w14:textFill>
        </w:rPr>
        <w:t>中部地区崛起和中原城市群建设</w:t>
      </w:r>
      <w:r>
        <w:rPr>
          <w:rFonts w:hint="eastAsia" w:ascii="仿宋" w:hAnsi="仿宋" w:eastAsia="仿宋" w:cs="仿宋"/>
          <w:color w:val="000000" w:themeColor="text1"/>
          <w:kern w:val="0"/>
          <w:sz w:val="30"/>
          <w:szCs w:val="30"/>
          <w:u w:val="none"/>
          <w:lang w:val="en-US" w:eastAsia="zh-CN" w:bidi="ar"/>
          <w14:textFill>
            <w14:solidFill>
              <w14:schemeClr w14:val="tx1"/>
            </w14:solidFill>
          </w14:textFill>
        </w:rPr>
        <w:t>等国家区域性发展战略，对接地方经济社会发展需求，着力打造特色服务品牌和亮点工程，力推科技开发与服务能力显著提升，力争在部分优势领域取得</w:t>
      </w:r>
      <w:r>
        <w:rPr>
          <w:rFonts w:hint="eastAsia" w:ascii="仿宋" w:hAnsi="仿宋" w:eastAsia="仿宋" w:cs="仿宋"/>
          <w:b w:val="0"/>
          <w:bCs w:val="0"/>
          <w:color w:val="000000" w:themeColor="text1"/>
          <w:kern w:val="0"/>
          <w:sz w:val="30"/>
          <w:szCs w:val="30"/>
          <w:u w:val="none"/>
          <w:lang w:val="en-US" w:eastAsia="zh-CN" w:bidi="ar"/>
          <w14:textFill>
            <w14:solidFill>
              <w14:schemeClr w14:val="tx1"/>
            </w14:solidFill>
          </w14:textFill>
        </w:rPr>
        <w:t>重要或关键性突破，社会服务</w:t>
      </w:r>
      <w:r>
        <w:rPr>
          <w:rFonts w:hint="eastAsia" w:ascii="仿宋" w:hAnsi="仿宋" w:eastAsia="仿宋" w:cs="仿宋"/>
          <w:color w:val="000000" w:themeColor="text1"/>
          <w:kern w:val="0"/>
          <w:sz w:val="30"/>
          <w:szCs w:val="30"/>
          <w:u w:val="none"/>
          <w:lang w:val="en-US" w:eastAsia="zh-CN" w:bidi="ar"/>
          <w14:textFill>
            <w14:solidFill>
              <w14:schemeClr w14:val="tx1"/>
            </w14:solidFill>
          </w14:textFill>
        </w:rPr>
        <w:t>走在全省同类高校前列。</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20" w:lineRule="exact"/>
        <w:ind w:left="0" w:leftChars="0" w:firstLine="602" w:firstLineChars="200"/>
        <w:jc w:val="both"/>
        <w:textAlignment w:val="auto"/>
        <w:rPr>
          <w:rFonts w:hint="eastAsia" w:ascii="仿宋" w:hAnsi="仿宋" w:eastAsia="仿宋" w:cs="仿宋"/>
          <w:b/>
          <w:bCs/>
          <w:color w:val="000000" w:themeColor="text1"/>
          <w:kern w:val="0"/>
          <w:sz w:val="30"/>
          <w:szCs w:val="30"/>
          <w:u w:val="none"/>
          <w:lang w:val="en-US" w:eastAsia="zh-CN" w:bidi="ar"/>
          <w14:textFill>
            <w14:solidFill>
              <w14:schemeClr w14:val="tx1"/>
            </w14:solidFill>
          </w14:textFill>
        </w:rPr>
      </w:pPr>
      <w:r>
        <w:rPr>
          <w:rFonts w:hint="eastAsia" w:ascii="仿宋" w:hAnsi="仿宋" w:eastAsia="仿宋" w:cs="仿宋"/>
          <w:b/>
          <w:bCs/>
          <w:color w:val="000000" w:themeColor="text1"/>
          <w:kern w:val="0"/>
          <w:sz w:val="30"/>
          <w:szCs w:val="30"/>
          <w:u w:val="none"/>
          <w:lang w:val="en-US" w:eastAsia="zh-CN" w:bidi="ar"/>
          <w14:textFill>
            <w14:solidFill>
              <w14:schemeClr w14:val="tx1"/>
            </w14:solidFill>
          </w14:textFill>
        </w:rPr>
        <w:t>（6）保障能力</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20" w:lineRule="exact"/>
        <w:ind w:left="0" w:leftChars="0" w:firstLine="600" w:firstLineChars="200"/>
        <w:jc w:val="both"/>
        <w:textAlignment w:val="auto"/>
        <w:rPr>
          <w:rFonts w:hint="eastAsia" w:ascii="仿宋" w:hAnsi="仿宋" w:eastAsia="仿宋" w:cs="仿宋"/>
          <w:color w:val="000000" w:themeColor="text1"/>
          <w:kern w:val="0"/>
          <w:sz w:val="30"/>
          <w:szCs w:val="30"/>
          <w:u w:val="none"/>
          <w:lang w:val="en-US" w:eastAsia="zh-CN" w:bidi="ar"/>
          <w14:textFill>
            <w14:solidFill>
              <w14:schemeClr w14:val="tx1"/>
            </w14:solidFill>
          </w14:textFill>
        </w:rPr>
      </w:pPr>
      <w:r>
        <w:rPr>
          <w:rFonts w:hint="eastAsia" w:ascii="仿宋" w:hAnsi="仿宋" w:eastAsia="仿宋" w:cs="仿宋"/>
          <w:color w:val="000000" w:themeColor="text1"/>
          <w:kern w:val="0"/>
          <w:sz w:val="30"/>
          <w:szCs w:val="30"/>
          <w:u w:val="none"/>
          <w:lang w:val="en-US" w:eastAsia="zh-CN" w:bidi="ar"/>
          <w14:textFill>
            <w14:solidFill>
              <w14:schemeClr w14:val="tx1"/>
            </w14:solidFill>
          </w14:textFill>
        </w:rPr>
        <w:t>到2025年，</w:t>
      </w:r>
      <w:r>
        <w:rPr>
          <w:rFonts w:hint="eastAsia" w:ascii="仿宋" w:hAnsi="仿宋" w:eastAsia="仿宋" w:cs="仿宋"/>
          <w:b w:val="0"/>
          <w:bCs w:val="0"/>
          <w:color w:val="000000" w:themeColor="text1"/>
          <w:kern w:val="0"/>
          <w:sz w:val="30"/>
          <w:szCs w:val="30"/>
          <w:u w:val="none"/>
          <w:lang w:val="en-US" w:eastAsia="zh-CN" w:bidi="ar"/>
          <w14:textFill>
            <w14:solidFill>
              <w14:schemeClr w14:val="tx1"/>
            </w14:solidFill>
          </w14:textFill>
        </w:rPr>
        <w:t>基本完</w:t>
      </w:r>
      <w:r>
        <w:rPr>
          <w:rFonts w:hint="eastAsia" w:ascii="仿宋" w:hAnsi="仿宋" w:eastAsia="仿宋" w:cs="仿宋"/>
          <w:color w:val="000000" w:themeColor="text1"/>
          <w:kern w:val="0"/>
          <w:sz w:val="30"/>
          <w:szCs w:val="30"/>
          <w:u w:val="none"/>
          <w:lang w:val="en-US" w:eastAsia="zh-CN" w:bidi="ar"/>
          <w14:textFill>
            <w14:solidFill>
              <w14:schemeClr w14:val="tx1"/>
            </w14:solidFill>
          </w14:textFill>
        </w:rPr>
        <w:t>成新校区二期工程建设，教学行政用房建设总面积力争</w:t>
      </w:r>
      <w:r>
        <w:rPr>
          <w:rFonts w:hint="eastAsia" w:ascii="仿宋_GB2312" w:hAnsi="仿宋_GB2312" w:eastAsia="仿宋_GB2312" w:cs="仿宋_GB2312"/>
          <w:color w:val="000000" w:themeColor="text1"/>
          <w:kern w:val="0"/>
          <w:sz w:val="30"/>
          <w:szCs w:val="30"/>
          <w:u w:val="none"/>
          <w:lang w:val="en-US" w:eastAsia="zh-CN" w:bidi="ar"/>
          <w14:textFill>
            <w14:solidFill>
              <w14:schemeClr w14:val="tx1"/>
            </w14:solidFill>
          </w14:textFill>
        </w:rPr>
        <w:t>达</w:t>
      </w:r>
      <w:r>
        <w:rPr>
          <w:rFonts w:hint="eastAsia" w:ascii="仿宋_GB2312" w:hAnsi="仿宋_GB2312" w:eastAsia="仿宋_GB2312" w:cs="仿宋_GB2312"/>
          <w:color w:val="auto"/>
          <w:kern w:val="0"/>
          <w:sz w:val="30"/>
          <w:szCs w:val="30"/>
          <w:u w:val="none"/>
          <w:lang w:val="en-US" w:eastAsia="zh-CN" w:bidi="ar"/>
        </w:rPr>
        <w:t>到29.1</w:t>
      </w:r>
      <w:r>
        <w:rPr>
          <w:rFonts w:hint="eastAsia" w:ascii="仿宋" w:hAnsi="仿宋" w:eastAsia="仿宋" w:cs="仿宋"/>
          <w:color w:val="auto"/>
          <w:kern w:val="0"/>
          <w:sz w:val="30"/>
          <w:szCs w:val="30"/>
          <w:u w:val="none"/>
          <w:lang w:val="en-US" w:eastAsia="zh-CN" w:bidi="ar"/>
        </w:rPr>
        <w:t>万</w:t>
      </w:r>
      <w:r>
        <w:rPr>
          <w:rFonts w:hint="eastAsia" w:ascii="仿宋" w:hAnsi="仿宋" w:eastAsia="仿宋" w:cs="仿宋"/>
          <w:color w:val="auto"/>
          <w:kern w:val="0"/>
          <w:sz w:val="30"/>
          <w:szCs w:val="30"/>
          <w:highlight w:val="none"/>
          <w:u w:val="none"/>
          <w:lang w:val="en-US" w:eastAsia="zh-CN" w:bidi="ar"/>
        </w:rPr>
        <w:t>平米</w:t>
      </w:r>
      <w:r>
        <w:rPr>
          <w:rFonts w:hint="eastAsia" w:ascii="仿宋" w:hAnsi="仿宋" w:eastAsia="仿宋" w:cs="仿宋"/>
          <w:color w:val="auto"/>
          <w:kern w:val="0"/>
          <w:sz w:val="30"/>
          <w:szCs w:val="30"/>
          <w:u w:val="none"/>
          <w:lang w:val="en-US" w:eastAsia="zh-CN" w:bidi="ar"/>
        </w:rPr>
        <w:t>；教学科</w:t>
      </w:r>
      <w:r>
        <w:rPr>
          <w:rFonts w:hint="eastAsia" w:ascii="仿宋" w:hAnsi="仿宋" w:eastAsia="仿宋" w:cs="仿宋"/>
          <w:color w:val="000000" w:themeColor="text1"/>
          <w:kern w:val="0"/>
          <w:sz w:val="30"/>
          <w:szCs w:val="30"/>
          <w:u w:val="none"/>
          <w:lang w:val="en-US" w:eastAsia="zh-CN" w:bidi="ar"/>
          <w14:textFill>
            <w14:solidFill>
              <w14:schemeClr w14:val="tx1"/>
            </w14:solidFill>
          </w14:textFill>
        </w:rPr>
        <w:t>研仪器设备总值达到2亿元以上；立项建设校级实验教学示范中心13个左右，争取立项建设省级实验教学示范中心5个，力争国家级实验教学示范中心建设项目有突破。每个本科专业建设稳定的校外实习实训基地5个以上，新增实验室13个左右</w:t>
      </w:r>
      <w:r>
        <w:rPr>
          <w:rFonts w:hint="eastAsia" w:ascii="仿宋" w:hAnsi="仿宋" w:eastAsia="仿宋" w:cs="仿宋"/>
          <w:color w:val="000000" w:themeColor="text1"/>
          <w:kern w:val="0"/>
          <w:sz w:val="30"/>
          <w:szCs w:val="30"/>
          <w:highlight w:val="none"/>
          <w:u w:val="none"/>
          <w:lang w:val="en-US" w:eastAsia="zh-CN" w:bidi="ar"/>
          <w14:textFill>
            <w14:solidFill>
              <w14:schemeClr w14:val="tx1"/>
            </w14:solidFill>
          </w14:textFill>
        </w:rPr>
        <w:t>,</w:t>
      </w:r>
      <w:r>
        <w:rPr>
          <w:rFonts w:hint="eastAsia" w:ascii="仿宋" w:hAnsi="仿宋" w:eastAsia="仿宋" w:cs="仿宋"/>
          <w:color w:val="000000" w:themeColor="text1"/>
          <w:kern w:val="0"/>
          <w:sz w:val="30"/>
          <w:szCs w:val="30"/>
          <w:u w:val="none"/>
          <w:lang w:val="en-US" w:eastAsia="zh-CN" w:bidi="ar"/>
          <w14:textFill>
            <w14:solidFill>
              <w14:schemeClr w14:val="tx1"/>
            </w14:solidFill>
          </w14:textFill>
        </w:rPr>
        <w:t>实践教学条件能够满足教学科研需</w:t>
      </w:r>
      <w:r>
        <w:rPr>
          <w:rFonts w:hint="eastAsia" w:ascii="仿宋" w:hAnsi="仿宋" w:eastAsia="仿宋" w:cs="仿宋"/>
          <w:b w:val="0"/>
          <w:bCs w:val="0"/>
          <w:color w:val="000000" w:themeColor="text1"/>
          <w:kern w:val="0"/>
          <w:sz w:val="30"/>
          <w:szCs w:val="30"/>
          <w:u w:val="none"/>
          <w:lang w:val="en-US" w:eastAsia="zh-CN" w:bidi="ar"/>
          <w14:textFill>
            <w14:solidFill>
              <w14:schemeClr w14:val="tx1"/>
            </w14:solidFill>
          </w14:textFill>
        </w:rPr>
        <w:t>要；建成以服务教学为核心的智慧校园，实现室内外5G、WiFi全覆盖，建设100间智慧教室，积极建设基于5G的增强现实课堂与面向“三农”的开放网络教学资源平台；</w:t>
      </w:r>
      <w:r>
        <w:rPr>
          <w:rFonts w:hint="eastAsia" w:ascii="仿宋" w:hAnsi="仿宋" w:eastAsia="仿宋" w:cs="仿宋"/>
          <w:b w:val="0"/>
          <w:bCs w:val="0"/>
          <w:color w:val="000000" w:themeColor="text1"/>
          <w:kern w:val="0"/>
          <w:sz w:val="30"/>
          <w:szCs w:val="30"/>
          <w:u w:val="none"/>
          <w:lang w:val="en-US" w:eastAsia="zh-CN"/>
          <w14:textFill>
            <w14:solidFill>
              <w14:schemeClr w14:val="tx1"/>
            </w14:solidFill>
          </w14:textFill>
        </w:rPr>
        <w:t>加强图书档案建设，保证年进纸质图书不低于</w:t>
      </w:r>
      <w:r>
        <w:rPr>
          <w:rFonts w:hint="eastAsia" w:cs="仿宋"/>
          <w:b w:val="0"/>
          <w:bCs w:val="0"/>
          <w:i w:val="0"/>
          <w:iCs w:val="0"/>
          <w:color w:val="000000" w:themeColor="text1"/>
          <w:kern w:val="0"/>
          <w:sz w:val="30"/>
          <w:szCs w:val="30"/>
          <w:u w:val="none"/>
          <w:lang w:val="en-US" w:eastAsia="zh-CN"/>
          <w14:textFill>
            <w14:solidFill>
              <w14:schemeClr w14:val="tx1"/>
            </w14:solidFill>
          </w14:textFill>
        </w:rPr>
        <w:t>8</w:t>
      </w:r>
      <w:r>
        <w:rPr>
          <w:rFonts w:hint="eastAsia" w:ascii="仿宋" w:hAnsi="仿宋" w:eastAsia="仿宋" w:cs="仿宋"/>
          <w:b w:val="0"/>
          <w:bCs w:val="0"/>
          <w:i w:val="0"/>
          <w:iCs w:val="0"/>
          <w:color w:val="000000" w:themeColor="text1"/>
          <w:kern w:val="0"/>
          <w:sz w:val="30"/>
          <w:szCs w:val="30"/>
          <w:u w:val="none"/>
          <w:lang w:val="en-US" w:eastAsia="zh-CN"/>
          <w14:textFill>
            <w14:solidFill>
              <w14:schemeClr w14:val="tx1"/>
            </w14:solidFill>
          </w14:textFill>
        </w:rPr>
        <w:t xml:space="preserve"> </w:t>
      </w:r>
      <w:r>
        <w:rPr>
          <w:rFonts w:hint="eastAsia" w:ascii="仿宋" w:hAnsi="仿宋" w:eastAsia="仿宋" w:cs="仿宋"/>
          <w:b w:val="0"/>
          <w:bCs w:val="0"/>
          <w:color w:val="000000" w:themeColor="text1"/>
          <w:kern w:val="0"/>
          <w:sz w:val="30"/>
          <w:szCs w:val="30"/>
          <w:u w:val="none"/>
          <w:lang w:val="en-US" w:eastAsia="zh-CN"/>
          <w14:textFill>
            <w14:solidFill>
              <w14:schemeClr w14:val="tx1"/>
            </w14:solidFill>
          </w14:textFill>
        </w:rPr>
        <w:t>万册，</w:t>
      </w:r>
      <w:r>
        <w:rPr>
          <w:rFonts w:hint="eastAsia" w:ascii="仿宋" w:hAnsi="仿宋" w:eastAsia="仿宋" w:cs="仿宋"/>
          <w:b w:val="0"/>
          <w:bCs w:val="0"/>
          <w:color w:val="000000" w:themeColor="text1"/>
          <w:kern w:val="0"/>
          <w:sz w:val="30"/>
          <w:szCs w:val="30"/>
          <w:u w:val="none"/>
          <w:lang w:val="en-US" w:eastAsia="zh-CN" w:bidi="ar"/>
          <w14:textFill>
            <w14:solidFill>
              <w14:schemeClr w14:val="tx1"/>
            </w14:solidFill>
          </w14:textFill>
        </w:rPr>
        <w:t>图书馆馆藏纸质文</w:t>
      </w:r>
      <w:r>
        <w:rPr>
          <w:rFonts w:hint="eastAsia" w:ascii="仿宋" w:hAnsi="仿宋" w:eastAsia="仿宋" w:cs="仿宋"/>
          <w:color w:val="000000" w:themeColor="text1"/>
          <w:kern w:val="0"/>
          <w:sz w:val="30"/>
          <w:szCs w:val="30"/>
          <w:u w:val="none"/>
          <w:lang w:val="en-US" w:eastAsia="zh-CN" w:bidi="ar"/>
          <w14:textFill>
            <w14:solidFill>
              <w14:schemeClr w14:val="tx1"/>
            </w14:solidFill>
          </w14:textFill>
        </w:rPr>
        <w:t>献达到200万册以上，新增电子图书50万册以上，新增数据库20个以上，年订购纸质期刊1000种以上。</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20" w:lineRule="exact"/>
        <w:ind w:left="0" w:leftChars="0" w:firstLine="602" w:firstLineChars="200"/>
        <w:jc w:val="both"/>
        <w:textAlignment w:val="auto"/>
        <w:rPr>
          <w:rFonts w:hint="eastAsia" w:ascii="仿宋" w:hAnsi="仿宋" w:eastAsia="仿宋" w:cs="仿宋"/>
          <w:b/>
          <w:bCs/>
          <w:color w:val="000000" w:themeColor="text1"/>
          <w:kern w:val="0"/>
          <w:sz w:val="30"/>
          <w:szCs w:val="30"/>
          <w:u w:val="none"/>
          <w:lang w:val="en-US" w:eastAsia="zh-CN" w:bidi="ar"/>
          <w14:textFill>
            <w14:solidFill>
              <w14:schemeClr w14:val="tx1"/>
            </w14:solidFill>
          </w14:textFill>
        </w:rPr>
      </w:pPr>
      <w:r>
        <w:rPr>
          <w:rFonts w:hint="eastAsia" w:ascii="仿宋" w:hAnsi="仿宋" w:eastAsia="仿宋" w:cs="仿宋"/>
          <w:b/>
          <w:bCs/>
          <w:color w:val="000000" w:themeColor="text1"/>
          <w:kern w:val="0"/>
          <w:sz w:val="30"/>
          <w:szCs w:val="30"/>
          <w:u w:val="none"/>
          <w:lang w:val="en-US" w:eastAsia="zh-CN" w:bidi="ar"/>
          <w14:textFill>
            <w14:solidFill>
              <w14:schemeClr w14:val="tx1"/>
            </w14:solidFill>
          </w14:textFill>
        </w:rPr>
        <w:t>（7）对外合作与交流</w:t>
      </w:r>
    </w:p>
    <w:p>
      <w:pPr>
        <w:keepNext w:val="0"/>
        <w:keepLines w:val="0"/>
        <w:pageBreakBefore w:val="0"/>
        <w:kinsoku/>
        <w:wordWrap/>
        <w:overflowPunct/>
        <w:topLinePunct w:val="0"/>
        <w:autoSpaceDE/>
        <w:autoSpaceDN/>
        <w:bidi w:val="0"/>
        <w:adjustRightInd/>
        <w:snapToGrid/>
        <w:spacing w:line="520" w:lineRule="exact"/>
        <w:ind w:firstLine="600" w:firstLineChars="200"/>
        <w:textAlignment w:val="auto"/>
        <w:rPr>
          <w:rFonts w:hint="eastAsia" w:ascii="仿宋" w:hAnsi="仿宋" w:eastAsia="仿宋" w:cs="仿宋"/>
          <w:b/>
          <w:bCs/>
          <w:color w:val="000000" w:themeColor="text1"/>
          <w:sz w:val="30"/>
          <w:szCs w:val="30"/>
          <w:u w:val="none"/>
          <w:lang w:val="en-US" w:eastAsia="zh-CN"/>
          <w14:textFill>
            <w14:solidFill>
              <w14:schemeClr w14:val="tx1"/>
            </w14:solidFill>
          </w14:textFill>
        </w:rPr>
      </w:pPr>
      <w:r>
        <w:rPr>
          <w:rFonts w:hint="eastAsia" w:ascii="仿宋" w:hAnsi="仿宋" w:eastAsia="仿宋" w:cs="仿宋"/>
          <w:color w:val="000000" w:themeColor="text1"/>
          <w:kern w:val="0"/>
          <w:sz w:val="30"/>
          <w:szCs w:val="30"/>
          <w:u w:val="none"/>
          <w:lang w:val="en-US" w:eastAsia="zh-CN" w:bidi="ar"/>
          <w14:textFill>
            <w14:solidFill>
              <w14:schemeClr w14:val="tx1"/>
            </w14:solidFill>
          </w14:textFill>
        </w:rPr>
        <w:t>到2</w:t>
      </w:r>
      <w:r>
        <w:rPr>
          <w:rFonts w:hint="eastAsia" w:ascii="仿宋" w:hAnsi="仿宋" w:eastAsia="仿宋" w:cs="仿宋"/>
          <w:b w:val="0"/>
          <w:bCs w:val="0"/>
          <w:color w:val="000000" w:themeColor="text1"/>
          <w:kern w:val="0"/>
          <w:sz w:val="30"/>
          <w:szCs w:val="30"/>
          <w:u w:val="none"/>
          <w:lang w:val="en-US" w:eastAsia="zh-CN" w:bidi="ar"/>
          <w14:textFill>
            <w14:solidFill>
              <w14:schemeClr w14:val="tx1"/>
            </w14:solidFill>
          </w14:textFill>
        </w:rPr>
        <w:t>025年，积极搭建师生对外交流合作平台，拓展国际合作办学渠道，与国外12-15所大学建立良好合作关系；成立港澳台事务办公室，持续加强与港澳台2-3所高等院校、科研院所之间的交流合作；申请招收留学生资质，重点培养</w:t>
      </w:r>
      <w:r>
        <w:rPr>
          <w:rFonts w:hint="eastAsia" w:ascii="仿宋" w:hAnsi="仿宋" w:eastAsia="仿宋" w:cs="仿宋"/>
          <w:b w:val="0"/>
          <w:bCs w:val="0"/>
          <w:color w:val="auto"/>
          <w:kern w:val="0"/>
          <w:sz w:val="30"/>
          <w:szCs w:val="30"/>
          <w:u w:val="none"/>
          <w:lang w:val="en-US" w:eastAsia="zh-CN" w:bidi="ar"/>
        </w:rPr>
        <w:t>一带一路沿线国家对外汉语及相关专业留学生。与相关</w:t>
      </w:r>
      <w:r>
        <w:rPr>
          <w:rFonts w:hint="eastAsia" w:ascii="仿宋" w:hAnsi="仿宋" w:eastAsia="仿宋" w:cs="仿宋"/>
          <w:color w:val="auto"/>
          <w:kern w:val="0"/>
          <w:sz w:val="30"/>
          <w:szCs w:val="30"/>
          <w:u w:val="none"/>
          <w:lang w:val="en-US" w:eastAsia="zh-CN" w:bidi="ar"/>
        </w:rPr>
        <w:t>行业企业合作</w:t>
      </w:r>
      <w:r>
        <w:rPr>
          <w:rFonts w:hint="eastAsia" w:ascii="仿宋" w:hAnsi="仿宋" w:eastAsia="仿宋" w:cs="仿宋"/>
          <w:color w:val="0000FF"/>
          <w:kern w:val="0"/>
          <w:sz w:val="30"/>
          <w:szCs w:val="30"/>
          <w:u w:val="none"/>
          <w:lang w:val="en-US" w:eastAsia="zh-CN" w:bidi="ar"/>
        </w:rPr>
        <w:t>新建</w:t>
      </w:r>
      <w:r>
        <w:rPr>
          <w:rFonts w:hint="eastAsia" w:ascii="仿宋" w:hAnsi="仿宋" w:eastAsia="仿宋" w:cs="仿宋"/>
          <w:color w:val="000000" w:themeColor="text1"/>
          <w:kern w:val="0"/>
          <w:sz w:val="30"/>
          <w:szCs w:val="30"/>
          <w:u w:val="none"/>
          <w:lang w:val="en-US" w:eastAsia="zh-CN" w:bidi="ar"/>
          <w14:textFill>
            <w14:solidFill>
              <w14:schemeClr w14:val="tx1"/>
            </w14:solidFill>
          </w14:textFill>
        </w:rPr>
        <w:t>特色产业学院 10个以上、省级产业技术创新战略联盟2个以上。</w:t>
      </w:r>
    </w:p>
    <w:p>
      <w:pPr>
        <w:keepNext w:val="0"/>
        <w:keepLines w:val="0"/>
        <w:pageBreakBefore w:val="0"/>
        <w:numPr>
          <w:ilvl w:val="0"/>
          <w:numId w:val="0"/>
        </w:numPr>
        <w:kinsoku/>
        <w:wordWrap/>
        <w:overflowPunct/>
        <w:topLinePunct w:val="0"/>
        <w:autoSpaceDE/>
        <w:autoSpaceDN/>
        <w:bidi w:val="0"/>
        <w:adjustRightInd/>
        <w:snapToGrid/>
        <w:spacing w:line="520" w:lineRule="exact"/>
        <w:ind w:left="0" w:leftChars="0" w:firstLine="602" w:firstLineChars="200"/>
        <w:jc w:val="both"/>
        <w:textAlignment w:val="auto"/>
        <w:outlineLvl w:val="0"/>
        <w:rPr>
          <w:rFonts w:hint="eastAsia" w:ascii="仿宋" w:hAnsi="仿宋" w:eastAsia="仿宋" w:cs="仿宋"/>
          <w:b/>
          <w:bCs/>
          <w:color w:val="000000" w:themeColor="text1"/>
          <w:sz w:val="30"/>
          <w:szCs w:val="30"/>
          <w:u w:val="none"/>
          <w:lang w:val="en-US" w:eastAsia="zh-CN"/>
          <w14:textFill>
            <w14:solidFill>
              <w14:schemeClr w14:val="tx1"/>
            </w14:solidFill>
          </w14:textFill>
        </w:rPr>
      </w:pPr>
      <w:bookmarkStart w:id="42" w:name="_Toc8585"/>
      <w:r>
        <w:rPr>
          <w:rFonts w:hint="eastAsia" w:ascii="仿宋" w:hAnsi="仿宋" w:eastAsia="仿宋" w:cs="仿宋"/>
          <w:b/>
          <w:bCs/>
          <w:color w:val="000000" w:themeColor="text1"/>
          <w:sz w:val="30"/>
          <w:szCs w:val="30"/>
          <w:u w:val="none"/>
          <w:lang w:val="en-US" w:eastAsia="zh-CN"/>
          <w14:textFill>
            <w14:solidFill>
              <w14:schemeClr w14:val="tx1"/>
            </w14:solidFill>
          </w14:textFill>
        </w:rPr>
        <w:t>四、“十四五”期间学校发展的主要任务</w:t>
      </w:r>
      <w:bookmarkEnd w:id="42"/>
    </w:p>
    <w:p>
      <w:pPr>
        <w:keepNext w:val="0"/>
        <w:keepLines w:val="0"/>
        <w:pageBreakBefore w:val="0"/>
        <w:numPr>
          <w:ilvl w:val="0"/>
          <w:numId w:val="0"/>
        </w:numPr>
        <w:kinsoku/>
        <w:wordWrap/>
        <w:overflowPunct/>
        <w:topLinePunct w:val="0"/>
        <w:autoSpaceDE/>
        <w:autoSpaceDN/>
        <w:bidi w:val="0"/>
        <w:adjustRightInd/>
        <w:snapToGrid/>
        <w:spacing w:line="520" w:lineRule="exact"/>
        <w:ind w:left="0" w:leftChars="0" w:firstLine="600" w:firstLineChars="200"/>
        <w:jc w:val="both"/>
        <w:textAlignment w:val="auto"/>
        <w:rPr>
          <w:rFonts w:hint="eastAsia" w:ascii="仿宋" w:hAnsi="仿宋" w:eastAsia="仿宋" w:cs="仿宋"/>
          <w:color w:val="000000" w:themeColor="text1"/>
          <w:sz w:val="30"/>
          <w:szCs w:val="30"/>
          <w:u w:val="none"/>
          <w:lang w:val="en-US" w:eastAsia="zh-CN"/>
          <w14:textFill>
            <w14:solidFill>
              <w14:schemeClr w14:val="tx1"/>
            </w14:solidFill>
          </w14:textFill>
        </w:rPr>
      </w:pPr>
      <w:r>
        <w:rPr>
          <w:rFonts w:hint="eastAsia" w:ascii="仿宋" w:hAnsi="仿宋" w:eastAsia="仿宋" w:cs="仿宋"/>
          <w:color w:val="000000" w:themeColor="text1"/>
          <w:sz w:val="30"/>
          <w:szCs w:val="30"/>
          <w:u w:val="none"/>
          <w:lang w:val="en-US" w:eastAsia="zh-CN"/>
          <w14:textFill>
            <w14:solidFill>
              <w14:schemeClr w14:val="tx1"/>
            </w14:solidFill>
          </w14:textFill>
        </w:rPr>
        <w:t>从党建、发展理念、学科专业建设、教育教学改革、师资队伍建设、科技与社会服务、校园文化与校园建设、内部治理及办学保障等方面加强改革与建设、提供坚强支持与保障。</w:t>
      </w:r>
    </w:p>
    <w:p>
      <w:pPr>
        <w:pStyle w:val="3"/>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20" w:lineRule="exact"/>
        <w:ind w:right="0" w:firstLine="602" w:firstLineChars="200"/>
        <w:jc w:val="both"/>
        <w:textAlignment w:val="auto"/>
        <w:outlineLvl w:val="1"/>
        <w:rPr>
          <w:rFonts w:hint="eastAsia" w:ascii="仿宋" w:hAnsi="仿宋" w:eastAsia="仿宋" w:cs="仿宋"/>
          <w:b/>
          <w:bCs/>
          <w:color w:val="FF0000"/>
          <w:kern w:val="0"/>
          <w:sz w:val="30"/>
          <w:szCs w:val="30"/>
          <w:u w:val="none"/>
          <w:lang w:val="en-US" w:eastAsia="zh-CN" w:bidi="ar"/>
        </w:rPr>
      </w:pPr>
      <w:bookmarkStart w:id="43" w:name="_Toc20951"/>
      <w:r>
        <w:rPr>
          <w:rFonts w:hint="eastAsia" w:ascii="仿宋" w:hAnsi="仿宋" w:eastAsia="仿宋" w:cs="仿宋"/>
          <w:b/>
          <w:bCs/>
          <w:color w:val="000000" w:themeColor="text1"/>
          <w:kern w:val="0"/>
          <w:sz w:val="30"/>
          <w:szCs w:val="30"/>
          <w:u w:val="none"/>
          <w:lang w:val="en-US" w:eastAsia="zh-CN" w:bidi="ar"/>
          <w14:textFill>
            <w14:solidFill>
              <w14:schemeClr w14:val="tx1"/>
            </w14:solidFill>
          </w14:textFill>
        </w:rPr>
        <w:t>（一）</w:t>
      </w:r>
      <w:r>
        <w:rPr>
          <w:rFonts w:hint="eastAsia" w:ascii="仿宋" w:hAnsi="仿宋" w:eastAsia="仿宋" w:cs="仿宋"/>
          <w:b/>
          <w:bCs/>
          <w:color w:val="FF0000"/>
          <w:kern w:val="0"/>
          <w:sz w:val="30"/>
          <w:szCs w:val="30"/>
          <w:u w:val="none"/>
          <w:lang w:val="en-US" w:eastAsia="zh-CN" w:bidi="ar"/>
        </w:rPr>
        <w:t>以高质量党建为引领，激发高质量发展新动力</w:t>
      </w:r>
      <w:bookmarkEnd w:id="43"/>
    </w:p>
    <w:p>
      <w:pPr>
        <w:pStyle w:val="16"/>
        <w:keepNext w:val="0"/>
        <w:keepLines w:val="0"/>
        <w:pageBreakBefore w:val="0"/>
        <w:widowControl w:val="0"/>
        <w:numPr>
          <w:ilvl w:val="0"/>
          <w:numId w:val="0"/>
        </w:numPr>
        <w:tabs>
          <w:tab w:val="left" w:pos="1239"/>
        </w:tabs>
        <w:kinsoku/>
        <w:wordWrap/>
        <w:overflowPunct/>
        <w:topLinePunct w:val="0"/>
        <w:autoSpaceDE/>
        <w:autoSpaceDN/>
        <w:bidi w:val="0"/>
        <w:adjustRightInd/>
        <w:snapToGrid/>
        <w:spacing w:before="0" w:beforeAutospacing="0" w:afterAutospacing="0" w:line="520" w:lineRule="exact"/>
        <w:ind w:left="0" w:leftChars="0" w:right="0" w:rightChars="0" w:firstLine="602" w:firstLineChars="200"/>
        <w:jc w:val="both"/>
        <w:textAlignment w:val="auto"/>
        <w:outlineLvl w:val="2"/>
        <w:rPr>
          <w:rFonts w:hint="eastAsia" w:ascii="仿宋" w:hAnsi="仿宋" w:eastAsia="仿宋" w:cs="仿宋"/>
          <w:b/>
          <w:bCs/>
          <w:color w:val="000000" w:themeColor="text1"/>
          <w:kern w:val="0"/>
          <w:sz w:val="30"/>
          <w:szCs w:val="30"/>
          <w:u w:val="none"/>
          <w:lang w:val="en-US" w:eastAsia="zh-CN" w:bidi="ar"/>
          <w14:textFill>
            <w14:solidFill>
              <w14:schemeClr w14:val="tx1"/>
            </w14:solidFill>
          </w14:textFill>
        </w:rPr>
      </w:pPr>
      <w:bookmarkStart w:id="44" w:name="_Toc26617"/>
      <w:r>
        <w:rPr>
          <w:rFonts w:hint="eastAsia" w:ascii="仿宋" w:hAnsi="仿宋" w:eastAsia="仿宋" w:cs="仿宋"/>
          <w:b/>
          <w:bCs/>
          <w:color w:val="000000" w:themeColor="text1"/>
          <w:kern w:val="0"/>
          <w:sz w:val="30"/>
          <w:szCs w:val="30"/>
          <w:u w:val="none"/>
          <w:lang w:val="en-US" w:eastAsia="zh-CN" w:bidi="ar"/>
          <w14:textFill>
            <w14:solidFill>
              <w14:schemeClr w14:val="tx1"/>
            </w14:solidFill>
          </w14:textFill>
        </w:rPr>
        <w:t>1.加强学校领导班子建设，提升办学治校能力</w:t>
      </w:r>
      <w:bookmarkEnd w:id="44"/>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firstLine="600" w:firstLineChars="200"/>
        <w:jc w:val="both"/>
        <w:textAlignment w:val="auto"/>
        <w:outlineLvl w:val="0"/>
        <w:rPr>
          <w:rFonts w:hint="eastAsia" w:ascii="仿宋" w:hAnsi="仿宋" w:eastAsia="仿宋" w:cs="仿宋"/>
          <w:b w:val="0"/>
          <w:bCs w:val="0"/>
          <w:color w:val="000000" w:themeColor="text1"/>
          <w:kern w:val="0"/>
          <w:sz w:val="30"/>
          <w:szCs w:val="30"/>
          <w:u w:val="none"/>
          <w:lang w:val="en-US" w:eastAsia="zh-CN" w:bidi="ar"/>
          <w14:textFill>
            <w14:solidFill>
              <w14:schemeClr w14:val="tx1"/>
            </w14:solidFill>
          </w14:textFill>
        </w:rPr>
      </w:pPr>
      <w:bookmarkStart w:id="45" w:name="_Toc1232"/>
      <w:bookmarkStart w:id="46" w:name="_Toc27000"/>
      <w:bookmarkStart w:id="47" w:name="_Toc21343"/>
      <w:bookmarkStart w:id="48" w:name="_Toc7154"/>
      <w:r>
        <w:rPr>
          <w:rFonts w:hint="eastAsia" w:ascii="仿宋" w:hAnsi="仿宋" w:eastAsia="仿宋" w:cs="仿宋"/>
          <w:b w:val="0"/>
          <w:bCs w:val="0"/>
          <w:color w:val="000000" w:themeColor="text1"/>
          <w:kern w:val="0"/>
          <w:sz w:val="30"/>
          <w:szCs w:val="30"/>
          <w:u w:val="none"/>
          <w:lang w:val="en-US" w:eastAsia="zh-CN" w:bidi="ar"/>
          <w14:textFill>
            <w14:solidFill>
              <w14:schemeClr w14:val="tx1"/>
            </w14:solidFill>
          </w14:textFill>
        </w:rPr>
        <w:t>坚持社会主义办学方向，落实立德树人根本任务，坚持围绕中心抓党建，抓好党建促发展，以党建高质量推动事业发展高质量，推进学校治理体系和治理能力现代化。强化党委办学治校主体责任，认真履行《信阳农林学院章程》赋予的职责，坚持党对学校各项工作的领导，完善党委领导下的校长负责制，建立健全党委统一领导、党政分工合作、协调运行的工作机制。提高科学决策、民主决策、依法决策水平，确保党委履行好把方向、管大局、作决策、抓班子、带队伍、保落实的领导职责。构建党委领导、校长负责、教授治学、民主管理、依法治校的现代大学治理体系。</w:t>
      </w:r>
      <w:bookmarkEnd w:id="45"/>
      <w:bookmarkEnd w:id="46"/>
      <w:bookmarkEnd w:id="47"/>
      <w:bookmarkEnd w:id="48"/>
    </w:p>
    <w:p>
      <w:pPr>
        <w:pStyle w:val="4"/>
        <w:keepNext w:val="0"/>
        <w:keepLines w:val="0"/>
        <w:pageBreakBefore w:val="0"/>
        <w:numPr>
          <w:ilvl w:val="0"/>
          <w:numId w:val="0"/>
        </w:numPr>
        <w:tabs>
          <w:tab w:val="left" w:pos="1239"/>
        </w:tabs>
        <w:kinsoku/>
        <w:wordWrap/>
        <w:overflowPunct/>
        <w:topLinePunct w:val="0"/>
        <w:autoSpaceDE/>
        <w:autoSpaceDN/>
        <w:bidi w:val="0"/>
        <w:adjustRightInd/>
        <w:snapToGrid/>
        <w:spacing w:before="0" w:beforeLines="0" w:beforeAutospacing="0" w:after="0" w:afterLines="0" w:afterAutospacing="0" w:line="520" w:lineRule="exact"/>
        <w:ind w:left="0" w:leftChars="0" w:right="0" w:rightChars="0" w:firstLine="602" w:firstLineChars="200"/>
        <w:jc w:val="both"/>
        <w:textAlignment w:val="auto"/>
        <w:outlineLvl w:val="2"/>
        <w:rPr>
          <w:rFonts w:hint="eastAsia" w:ascii="仿宋" w:hAnsi="仿宋" w:eastAsia="仿宋" w:cs="仿宋"/>
          <w:b/>
          <w:bCs/>
          <w:color w:val="000000" w:themeColor="text1"/>
          <w:kern w:val="0"/>
          <w:sz w:val="30"/>
          <w:szCs w:val="30"/>
          <w:u w:val="none"/>
          <w:lang w:val="en-US" w:eastAsia="zh-CN" w:bidi="ar"/>
          <w14:textFill>
            <w14:solidFill>
              <w14:schemeClr w14:val="tx1"/>
            </w14:solidFill>
          </w14:textFill>
        </w:rPr>
      </w:pPr>
      <w:bookmarkStart w:id="49" w:name="_Toc24313"/>
      <w:r>
        <w:rPr>
          <w:rFonts w:hint="eastAsia" w:ascii="仿宋" w:hAnsi="仿宋" w:eastAsia="仿宋" w:cs="仿宋"/>
          <w:b/>
          <w:bCs/>
          <w:color w:val="000000" w:themeColor="text1"/>
          <w:kern w:val="0"/>
          <w:sz w:val="30"/>
          <w:szCs w:val="30"/>
          <w:u w:val="none"/>
          <w:lang w:val="en-US" w:eastAsia="zh-CN" w:bidi="ar"/>
          <w14:textFill>
            <w14:solidFill>
              <w14:schemeClr w14:val="tx1"/>
            </w14:solidFill>
          </w14:textFill>
        </w:rPr>
        <w:t>2.加强干部队伍建设，提升干部队伍整体素质</w:t>
      </w:r>
      <w:bookmarkEnd w:id="49"/>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firstLine="600" w:firstLineChars="200"/>
        <w:jc w:val="both"/>
        <w:textAlignment w:val="auto"/>
        <w:outlineLvl w:val="0"/>
        <w:rPr>
          <w:rFonts w:hint="eastAsia" w:ascii="仿宋" w:hAnsi="仿宋" w:eastAsia="仿宋" w:cs="仿宋"/>
          <w:b w:val="0"/>
          <w:bCs w:val="0"/>
          <w:color w:val="000000" w:themeColor="text1"/>
          <w:kern w:val="0"/>
          <w:sz w:val="30"/>
          <w:szCs w:val="30"/>
          <w:u w:val="none"/>
          <w:lang w:val="en-US" w:eastAsia="zh-CN" w:bidi="ar"/>
          <w14:textFill>
            <w14:solidFill>
              <w14:schemeClr w14:val="tx1"/>
            </w14:solidFill>
          </w14:textFill>
        </w:rPr>
      </w:pPr>
      <w:bookmarkStart w:id="50" w:name="_Toc3383"/>
      <w:bookmarkStart w:id="51" w:name="_Toc11503"/>
      <w:bookmarkStart w:id="52" w:name="_Toc1128"/>
      <w:bookmarkStart w:id="53" w:name="_Toc29539"/>
      <w:r>
        <w:rPr>
          <w:rFonts w:hint="eastAsia" w:ascii="仿宋" w:hAnsi="仿宋" w:eastAsia="仿宋" w:cs="仿宋"/>
          <w:b w:val="0"/>
          <w:bCs w:val="0"/>
          <w:color w:val="000000" w:themeColor="text1"/>
          <w:kern w:val="0"/>
          <w:sz w:val="30"/>
          <w:szCs w:val="30"/>
          <w:u w:val="none"/>
          <w:lang w:val="en-US" w:eastAsia="zh-CN" w:bidi="ar"/>
          <w14:textFill>
            <w14:solidFill>
              <w14:schemeClr w14:val="tx1"/>
            </w14:solidFill>
          </w14:textFill>
        </w:rPr>
        <w:t>推进实施干部培养计划，加强干部多形式的实践锻炼，树立选人用人新风气，着重培养担当作为、苦干实干的优秀年轻干部；弘扬奋斗精神，增强斗争本领，建设一支素质优良、业务精湛、结构合理的干部队伍。强化干部工作导向，按照好干部标准考察任用干部。从严管党治党，加强党员干部管理、考核和监督。强化干部培训，推进干部教育培训工作科学化、制度化、规范化。</w:t>
      </w:r>
      <w:bookmarkEnd w:id="50"/>
      <w:bookmarkEnd w:id="51"/>
      <w:bookmarkEnd w:id="52"/>
      <w:bookmarkEnd w:id="53"/>
    </w:p>
    <w:p>
      <w:pPr>
        <w:pStyle w:val="4"/>
        <w:keepNext w:val="0"/>
        <w:keepLines w:val="0"/>
        <w:pageBreakBefore w:val="0"/>
        <w:numPr>
          <w:ilvl w:val="0"/>
          <w:numId w:val="0"/>
        </w:numPr>
        <w:tabs>
          <w:tab w:val="left" w:pos="1239"/>
        </w:tabs>
        <w:kinsoku/>
        <w:wordWrap/>
        <w:overflowPunct/>
        <w:topLinePunct w:val="0"/>
        <w:autoSpaceDE/>
        <w:autoSpaceDN/>
        <w:bidi w:val="0"/>
        <w:adjustRightInd/>
        <w:snapToGrid/>
        <w:spacing w:before="0" w:beforeLines="0" w:beforeAutospacing="0" w:after="0" w:afterLines="0" w:afterAutospacing="0" w:line="520" w:lineRule="exact"/>
        <w:ind w:left="0" w:leftChars="0" w:right="0" w:rightChars="0" w:firstLine="602" w:firstLineChars="200"/>
        <w:jc w:val="both"/>
        <w:textAlignment w:val="auto"/>
        <w:outlineLvl w:val="2"/>
        <w:rPr>
          <w:rFonts w:hint="eastAsia" w:ascii="仿宋" w:hAnsi="仿宋" w:eastAsia="仿宋" w:cs="仿宋"/>
          <w:b/>
          <w:bCs/>
          <w:color w:val="000000" w:themeColor="text1"/>
          <w:kern w:val="0"/>
          <w:sz w:val="30"/>
          <w:szCs w:val="30"/>
          <w:u w:val="none"/>
          <w:lang w:val="en-US" w:eastAsia="zh-CN" w:bidi="ar"/>
          <w14:textFill>
            <w14:solidFill>
              <w14:schemeClr w14:val="tx1"/>
            </w14:solidFill>
          </w14:textFill>
        </w:rPr>
      </w:pPr>
      <w:bookmarkStart w:id="54" w:name="_Toc8200"/>
      <w:r>
        <w:rPr>
          <w:rFonts w:hint="eastAsia" w:ascii="仿宋" w:hAnsi="仿宋" w:eastAsia="仿宋" w:cs="仿宋"/>
          <w:b/>
          <w:bCs/>
          <w:color w:val="000000" w:themeColor="text1"/>
          <w:kern w:val="0"/>
          <w:sz w:val="30"/>
          <w:szCs w:val="30"/>
          <w:u w:val="none"/>
          <w:lang w:val="en-US" w:eastAsia="zh-CN" w:bidi="ar"/>
          <w14:textFill>
            <w14:solidFill>
              <w14:schemeClr w14:val="tx1"/>
            </w14:solidFill>
          </w14:textFill>
        </w:rPr>
        <w:t>3.加强基层党组织建设，强化党支部战斗堡垒作用</w:t>
      </w:r>
      <w:bookmarkEnd w:id="54"/>
    </w:p>
    <w:p>
      <w:pPr>
        <w:pStyle w:val="2"/>
        <w:keepNext w:val="0"/>
        <w:keepLines w:val="0"/>
        <w:pageBreakBefore w:val="0"/>
        <w:widowControl w:val="0"/>
        <w:kinsoku/>
        <w:wordWrap/>
        <w:overflowPunct/>
        <w:topLinePunct w:val="0"/>
        <w:autoSpaceDE/>
        <w:autoSpaceDN/>
        <w:bidi w:val="0"/>
        <w:adjustRightInd/>
        <w:snapToGrid/>
        <w:spacing w:before="0" w:beforeAutospacing="0" w:afterAutospacing="0" w:line="520" w:lineRule="exact"/>
        <w:ind w:left="0" w:leftChars="0" w:right="0" w:firstLine="600" w:firstLineChars="200"/>
        <w:jc w:val="both"/>
        <w:textAlignment w:val="auto"/>
        <w:rPr>
          <w:rFonts w:hint="eastAsia" w:ascii="仿宋" w:hAnsi="仿宋" w:eastAsia="仿宋" w:cs="仿宋"/>
          <w:b w:val="0"/>
          <w:bCs w:val="0"/>
          <w:color w:val="000000" w:themeColor="text1"/>
          <w:kern w:val="0"/>
          <w:sz w:val="30"/>
          <w:szCs w:val="30"/>
          <w:u w:val="none"/>
          <w:lang w:val="en-US" w:eastAsia="zh-CN" w:bidi="ar"/>
          <w14:textFill>
            <w14:solidFill>
              <w14:schemeClr w14:val="tx1"/>
            </w14:solidFill>
          </w14:textFill>
        </w:rPr>
      </w:pPr>
      <w:bookmarkStart w:id="55" w:name="_Toc28286"/>
      <w:bookmarkStart w:id="56" w:name="_Toc30912"/>
      <w:bookmarkStart w:id="57" w:name="_Toc22315"/>
      <w:bookmarkStart w:id="58" w:name="_Toc7398"/>
      <w:r>
        <w:rPr>
          <w:rFonts w:hint="eastAsia" w:ascii="仿宋" w:hAnsi="仿宋" w:eastAsia="仿宋" w:cs="仿宋"/>
          <w:b w:val="0"/>
          <w:bCs w:val="0"/>
          <w:color w:val="000000" w:themeColor="text1"/>
          <w:kern w:val="0"/>
          <w:sz w:val="30"/>
          <w:szCs w:val="30"/>
          <w:u w:val="none"/>
          <w:lang w:val="en-US" w:eastAsia="zh-CN" w:bidi="ar"/>
          <w14:textFill>
            <w14:solidFill>
              <w14:schemeClr w14:val="tx1"/>
            </w14:solidFill>
          </w14:textFill>
        </w:rPr>
        <w:t>充分发挥二级学院党总支主力军作用，夯实党建工作根基。进一步健全党建工作体系，完善党建工作制度及责任体系。积极探索基层党组织在学校发展中的有效机制，强化其政治功能、组织功能和服务功能。统筹推进教职工党建、学生党建和离退休党建，深入实施样板支部达标创建计划。统筹推进学习型服务型创新型党支部建设。“不忘初心，牢记使命”</w:t>
      </w:r>
      <w:r>
        <w:rPr>
          <w:rFonts w:hint="eastAsia" w:cs="仿宋"/>
          <w:b w:val="0"/>
          <w:bCs w:val="0"/>
          <w:color w:val="000000" w:themeColor="text1"/>
          <w:kern w:val="0"/>
          <w:sz w:val="30"/>
          <w:szCs w:val="30"/>
          <w:u w:val="none"/>
          <w:lang w:val="en-US" w:eastAsia="zh-CN" w:bidi="ar"/>
          <w14:textFill>
            <w14:solidFill>
              <w14:schemeClr w14:val="tx1"/>
            </w14:solidFill>
          </w14:textFill>
        </w:rPr>
        <w:t>制度化</w:t>
      </w:r>
      <w:r>
        <w:rPr>
          <w:rFonts w:hint="eastAsia" w:ascii="仿宋" w:hAnsi="仿宋" w:eastAsia="仿宋" w:cs="仿宋"/>
          <w:b w:val="0"/>
          <w:bCs w:val="0"/>
          <w:color w:val="000000" w:themeColor="text1"/>
          <w:kern w:val="0"/>
          <w:sz w:val="30"/>
          <w:szCs w:val="30"/>
          <w:u w:val="none"/>
          <w:lang w:val="en-US" w:eastAsia="zh-CN" w:bidi="ar"/>
          <w14:textFill>
            <w14:solidFill>
              <w14:schemeClr w14:val="tx1"/>
            </w14:solidFill>
          </w14:textFill>
        </w:rPr>
        <w:t>，建立健全“两学一做”学习教育长效机制。坚持“三会一课”制度，完善民主评议党员制度。完善党员发展质量保证体系。</w:t>
      </w:r>
      <w:bookmarkEnd w:id="55"/>
      <w:bookmarkEnd w:id="56"/>
      <w:bookmarkEnd w:id="57"/>
      <w:bookmarkEnd w:id="58"/>
    </w:p>
    <w:p>
      <w:pPr>
        <w:keepNext w:val="0"/>
        <w:keepLines w:val="0"/>
        <w:pageBreakBefore w:val="0"/>
        <w:numPr>
          <w:ilvl w:val="0"/>
          <w:numId w:val="0"/>
        </w:numPr>
        <w:kinsoku/>
        <w:wordWrap/>
        <w:overflowPunct/>
        <w:topLinePunct w:val="0"/>
        <w:autoSpaceDE/>
        <w:autoSpaceDN/>
        <w:bidi w:val="0"/>
        <w:adjustRightInd/>
        <w:snapToGrid/>
        <w:spacing w:line="520" w:lineRule="exact"/>
        <w:ind w:firstLine="602" w:firstLineChars="200"/>
        <w:textAlignment w:val="auto"/>
        <w:outlineLvl w:val="2"/>
        <w:rPr>
          <w:rFonts w:hint="eastAsia" w:ascii="仿宋" w:hAnsi="仿宋" w:eastAsia="仿宋" w:cs="仿宋"/>
          <w:b/>
          <w:bCs/>
          <w:color w:val="000000" w:themeColor="text1"/>
          <w:kern w:val="0"/>
          <w:sz w:val="30"/>
          <w:szCs w:val="30"/>
          <w:u w:val="none"/>
          <w:lang w:val="en-US" w:eastAsia="zh-CN" w:bidi="ar"/>
          <w14:textFill>
            <w14:solidFill>
              <w14:schemeClr w14:val="tx1"/>
            </w14:solidFill>
          </w14:textFill>
        </w:rPr>
      </w:pPr>
      <w:bookmarkStart w:id="59" w:name="_Toc7309"/>
      <w:r>
        <w:rPr>
          <w:rFonts w:hint="eastAsia" w:ascii="仿宋" w:hAnsi="仿宋" w:eastAsia="仿宋" w:cs="仿宋"/>
          <w:b/>
          <w:bCs/>
          <w:color w:val="000000" w:themeColor="text1"/>
          <w:kern w:val="0"/>
          <w:sz w:val="30"/>
          <w:szCs w:val="30"/>
          <w:u w:val="none"/>
          <w:lang w:val="en-US" w:eastAsia="zh-CN" w:bidi="ar"/>
          <w14:textFill>
            <w14:solidFill>
              <w14:schemeClr w14:val="tx1"/>
            </w14:solidFill>
          </w14:textFill>
        </w:rPr>
        <w:t>4.加强党风廉政建设，打造风清气正良好发展氛围</w:t>
      </w:r>
      <w:bookmarkEnd w:id="59"/>
    </w:p>
    <w:p>
      <w:pPr>
        <w:keepNext w:val="0"/>
        <w:keepLines w:val="0"/>
        <w:pageBreakBefore w:val="0"/>
        <w:numPr>
          <w:ilvl w:val="0"/>
          <w:numId w:val="0"/>
        </w:numPr>
        <w:kinsoku/>
        <w:wordWrap/>
        <w:overflowPunct/>
        <w:topLinePunct w:val="0"/>
        <w:autoSpaceDE/>
        <w:autoSpaceDN/>
        <w:bidi w:val="0"/>
        <w:adjustRightInd/>
        <w:snapToGrid/>
        <w:spacing w:line="520" w:lineRule="exact"/>
        <w:textAlignment w:val="auto"/>
        <w:rPr>
          <w:rFonts w:hint="default" w:ascii="仿宋" w:hAnsi="仿宋" w:eastAsia="仿宋" w:cs="仿宋"/>
          <w:b w:val="0"/>
          <w:bCs w:val="0"/>
          <w:color w:val="000000" w:themeColor="text1"/>
          <w:kern w:val="0"/>
          <w:sz w:val="30"/>
          <w:szCs w:val="30"/>
          <w:u w:val="none"/>
          <w:lang w:val="en-US" w:eastAsia="zh-CN" w:bidi="ar"/>
          <w14:textFill>
            <w14:solidFill>
              <w14:schemeClr w14:val="tx1"/>
            </w14:solidFill>
          </w14:textFill>
        </w:rPr>
      </w:pPr>
      <w:r>
        <w:rPr>
          <w:rFonts w:hint="eastAsia" w:ascii="仿宋" w:hAnsi="仿宋" w:eastAsia="仿宋" w:cs="仿宋"/>
          <w:b w:val="0"/>
          <w:bCs w:val="0"/>
          <w:color w:val="000000" w:themeColor="text1"/>
          <w:kern w:val="0"/>
          <w:sz w:val="30"/>
          <w:szCs w:val="30"/>
          <w:u w:val="none"/>
          <w:lang w:val="en-US" w:eastAsia="zh-CN" w:bidi="ar"/>
          <w14:textFill>
            <w14:solidFill>
              <w14:schemeClr w14:val="tx1"/>
            </w14:solidFill>
          </w14:textFill>
        </w:rPr>
        <w:t xml:space="preserve">    认真落实全面从严治党主体责任和监督责任，构建“权责对等、责任清晰、履责到位、追责有力”的责任落实体系。强化权力运行制约与监督，严格落实中央八项规定精神，持之以恒纠治“四风”，完善作风建设长效机制。深入推进“以案促改”制度常态化，坚决落实巡视整改任务，推动校内巡查高质量开展。充分发挥统战工作在民主政治建设、凝心聚力、协调关系、化解矛盾等方面的重要作用；扎实推进校园廉政文化建设，营造风清气正良好发展氛围。</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20" w:lineRule="exact"/>
        <w:ind w:leftChars="200" w:right="0" w:rightChars="0"/>
        <w:jc w:val="both"/>
        <w:textAlignment w:val="auto"/>
        <w:outlineLvl w:val="1"/>
        <w:rPr>
          <w:rFonts w:hint="eastAsia" w:ascii="仿宋" w:hAnsi="仿宋" w:eastAsia="仿宋" w:cs="仿宋"/>
          <w:b/>
          <w:bCs/>
          <w:color w:val="000000" w:themeColor="text1"/>
          <w:sz w:val="30"/>
          <w:szCs w:val="30"/>
          <w:u w:val="none"/>
          <w:lang w:val="en-US" w:eastAsia="zh-CN"/>
          <w14:textFill>
            <w14:solidFill>
              <w14:schemeClr w14:val="tx1"/>
            </w14:solidFill>
          </w14:textFill>
        </w:rPr>
      </w:pPr>
      <w:bookmarkStart w:id="60" w:name="_Toc14407"/>
      <w:r>
        <w:rPr>
          <w:rFonts w:hint="eastAsia" w:ascii="仿宋" w:hAnsi="仿宋" w:eastAsia="仿宋" w:cs="仿宋"/>
          <w:b/>
          <w:bCs/>
          <w:color w:val="FF0000"/>
          <w:sz w:val="30"/>
          <w:szCs w:val="30"/>
          <w:u w:val="none"/>
          <w:lang w:val="en-US" w:eastAsia="zh-CN"/>
        </w:rPr>
        <w:t>（二）以更新教育思想为前提，树立高质量发展新理念</w:t>
      </w:r>
      <w:bookmarkEnd w:id="60"/>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20" w:lineRule="exact"/>
        <w:ind w:right="0" w:rightChars="0" w:firstLine="600" w:firstLineChars="200"/>
        <w:jc w:val="both"/>
        <w:textAlignment w:val="auto"/>
        <w:outlineLvl w:val="2"/>
        <w:rPr>
          <w:rFonts w:hint="eastAsia" w:ascii="仿宋" w:hAnsi="仿宋" w:eastAsia="仿宋" w:cs="仿宋"/>
          <w:color w:val="000000" w:themeColor="text1"/>
          <w:sz w:val="30"/>
          <w:szCs w:val="30"/>
          <w:u w:val="none"/>
          <w:lang w:val="en-US" w:eastAsia="zh-CN"/>
          <w14:textFill>
            <w14:solidFill>
              <w14:schemeClr w14:val="tx1"/>
            </w14:solidFill>
          </w14:textFill>
        </w:rPr>
      </w:pPr>
      <w:bookmarkStart w:id="61" w:name="_Toc23741"/>
      <w:r>
        <w:rPr>
          <w:rFonts w:hint="eastAsia" w:ascii="仿宋" w:hAnsi="仿宋" w:eastAsia="仿宋" w:cs="仿宋"/>
          <w:b w:val="0"/>
          <w:bCs w:val="0"/>
          <w:color w:val="000000" w:themeColor="text1"/>
          <w:sz w:val="30"/>
          <w:szCs w:val="30"/>
          <w:u w:val="none"/>
          <w:lang w:val="en-US" w:eastAsia="zh-CN"/>
          <w14:textFill>
            <w14:solidFill>
              <w14:schemeClr w14:val="tx1"/>
            </w14:solidFill>
          </w14:textFill>
        </w:rPr>
        <w:t>1.树立服务育人理念。</w:t>
      </w:r>
      <w:r>
        <w:rPr>
          <w:rFonts w:hint="eastAsia" w:ascii="仿宋" w:hAnsi="仿宋" w:eastAsia="仿宋" w:cs="仿宋"/>
          <w:color w:val="0000FF"/>
          <w:sz w:val="30"/>
          <w:szCs w:val="30"/>
          <w:u w:val="none"/>
          <w:lang w:val="en-US" w:eastAsia="zh-CN"/>
        </w:rPr>
        <w:t>坚持“</w:t>
      </w:r>
      <w:r>
        <w:rPr>
          <w:rFonts w:hint="eastAsia" w:ascii="仿宋" w:hAnsi="仿宋" w:eastAsia="仿宋" w:cs="仿宋"/>
          <w:b w:val="0"/>
          <w:bCs w:val="0"/>
          <w:color w:val="0000FF"/>
          <w:sz w:val="30"/>
          <w:szCs w:val="30"/>
          <w:u w:val="none"/>
          <w:lang w:val="en-US" w:eastAsia="zh-CN"/>
        </w:rPr>
        <w:t>育人为本，质量立校</w:t>
      </w:r>
      <w:r>
        <w:rPr>
          <w:rFonts w:hint="eastAsia" w:ascii="仿宋" w:hAnsi="仿宋" w:eastAsia="仿宋" w:cs="仿宋"/>
          <w:color w:val="0000FF"/>
          <w:sz w:val="30"/>
          <w:szCs w:val="30"/>
          <w:u w:val="none"/>
          <w:lang w:val="en-US" w:eastAsia="zh-CN"/>
        </w:rPr>
        <w:t>”</w:t>
      </w:r>
      <w:r>
        <w:rPr>
          <w:rFonts w:hint="eastAsia" w:ascii="仿宋" w:hAnsi="仿宋" w:eastAsia="仿宋" w:cs="仿宋"/>
          <w:b/>
          <w:bCs/>
          <w:color w:val="0000FF"/>
          <w:sz w:val="30"/>
          <w:szCs w:val="30"/>
          <w:u w:val="none"/>
          <w:lang w:val="en-US" w:eastAsia="zh-CN"/>
        </w:rPr>
        <w:t>，</w:t>
      </w:r>
      <w:r>
        <w:rPr>
          <w:rFonts w:hint="eastAsia" w:ascii="仿宋" w:hAnsi="仿宋" w:eastAsia="仿宋" w:cs="仿宋"/>
          <w:color w:val="0000FF"/>
          <w:sz w:val="30"/>
          <w:szCs w:val="30"/>
          <w:u w:val="none"/>
          <w:lang w:eastAsia="zh-CN"/>
        </w:rPr>
        <w:t>以立德树人为根本、强农兴农为己任，</w:t>
      </w:r>
      <w:r>
        <w:rPr>
          <w:rFonts w:hint="eastAsia" w:ascii="仿宋" w:hAnsi="仿宋" w:eastAsia="仿宋" w:cs="仿宋"/>
          <w:color w:val="0000FF"/>
          <w:sz w:val="30"/>
          <w:szCs w:val="30"/>
          <w:u w:val="none"/>
          <w:lang w:val="en-US" w:eastAsia="zh-CN"/>
        </w:rPr>
        <w:t>以培养德才兼备的高素质</w:t>
      </w:r>
      <w:r>
        <w:rPr>
          <w:rFonts w:hint="eastAsia" w:ascii="仿宋" w:hAnsi="仿宋" w:eastAsia="仿宋" w:cs="仿宋"/>
          <w:color w:val="0000FF"/>
          <w:sz w:val="30"/>
          <w:szCs w:val="30"/>
          <w:u w:val="none"/>
          <w:lang w:eastAsia="zh-CN"/>
        </w:rPr>
        <w:t>应用型</w:t>
      </w:r>
      <w:r>
        <w:rPr>
          <w:rFonts w:hint="eastAsia" w:ascii="仿宋" w:hAnsi="仿宋" w:eastAsia="仿宋" w:cs="仿宋"/>
          <w:color w:val="0000FF"/>
          <w:sz w:val="30"/>
          <w:szCs w:val="30"/>
          <w:u w:val="none"/>
          <w:lang w:val="en-US" w:eastAsia="zh-CN"/>
        </w:rPr>
        <w:t>人才为中心，</w:t>
      </w:r>
      <w:r>
        <w:rPr>
          <w:rFonts w:hint="eastAsia" w:ascii="仿宋" w:hAnsi="仿宋" w:eastAsia="仿宋" w:cs="仿宋"/>
          <w:color w:val="000000" w:themeColor="text1"/>
          <w:sz w:val="30"/>
          <w:szCs w:val="30"/>
          <w:u w:val="none"/>
          <w:lang w:eastAsia="zh-CN"/>
          <w14:textFill>
            <w14:solidFill>
              <w14:schemeClr w14:val="tx1"/>
            </w14:solidFill>
          </w14:textFill>
        </w:rPr>
        <w:t>以“三全育人”为途径，</w:t>
      </w:r>
      <w:r>
        <w:rPr>
          <w:rFonts w:hint="eastAsia" w:ascii="仿宋" w:hAnsi="仿宋" w:eastAsia="仿宋" w:cs="仿宋"/>
          <w:b w:val="0"/>
          <w:bCs w:val="0"/>
          <w:color w:val="000000" w:themeColor="text1"/>
          <w:sz w:val="30"/>
          <w:szCs w:val="30"/>
          <w:u w:val="none"/>
          <w:lang w:val="en-US" w:eastAsia="zh-CN"/>
          <w14:textFill>
            <w14:solidFill>
              <w14:schemeClr w14:val="tx1"/>
            </w14:solidFill>
          </w14:textFill>
        </w:rPr>
        <w:t>既要坚持“以生为本”、</w:t>
      </w:r>
      <w:r>
        <w:rPr>
          <w:rFonts w:hint="eastAsia" w:ascii="仿宋" w:hAnsi="仿宋" w:eastAsia="仿宋" w:cs="仿宋"/>
          <w:b w:val="0"/>
          <w:bCs w:val="0"/>
          <w:color w:val="0000FF"/>
          <w:sz w:val="30"/>
          <w:szCs w:val="30"/>
          <w:u w:val="none"/>
          <w:lang w:val="en-US" w:eastAsia="zh-CN"/>
        </w:rPr>
        <w:t>“五育并举”</w:t>
      </w:r>
      <w:r>
        <w:rPr>
          <w:rFonts w:hint="eastAsia" w:ascii="仿宋" w:hAnsi="仿宋" w:eastAsia="仿宋" w:cs="仿宋"/>
          <w:b w:val="0"/>
          <w:bCs w:val="0"/>
          <w:color w:val="000000" w:themeColor="text1"/>
          <w:sz w:val="30"/>
          <w:szCs w:val="30"/>
          <w:u w:val="none"/>
          <w:lang w:val="en-US" w:eastAsia="zh-CN"/>
          <w14:textFill>
            <w14:solidFill>
              <w14:schemeClr w14:val="tx1"/>
            </w14:solidFill>
          </w14:textFill>
        </w:rPr>
        <w:t>，秉持“学生中心、产出导向、持续改进”的育人理念，服务于培养具有高尚道德、完善人格以及发展潜力的“社会人”和胜任岗位要求的“职业人”双重特质的人才，又要</w:t>
      </w:r>
      <w:r>
        <w:rPr>
          <w:rFonts w:hint="eastAsia" w:ascii="仿宋" w:hAnsi="仿宋" w:eastAsia="仿宋" w:cs="仿宋"/>
          <w:color w:val="000000" w:themeColor="text1"/>
          <w:sz w:val="30"/>
          <w:szCs w:val="30"/>
          <w:u w:val="none"/>
          <w:lang w:val="en-US" w:eastAsia="zh-CN"/>
          <w14:textFill>
            <w14:solidFill>
              <w14:schemeClr w14:val="tx1"/>
            </w14:solidFill>
          </w14:textFill>
        </w:rPr>
        <w:t>将服务于学生成长成才的价值诉求与服务于区域经济社会发展需要有机结合。</w:t>
      </w:r>
      <w:bookmarkEnd w:id="61"/>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20" w:lineRule="exact"/>
        <w:ind w:left="0" w:leftChars="0" w:right="0" w:firstLine="600" w:firstLineChars="200"/>
        <w:jc w:val="both"/>
        <w:textAlignment w:val="auto"/>
        <w:outlineLvl w:val="2"/>
        <w:rPr>
          <w:rFonts w:hint="eastAsia" w:ascii="仿宋" w:hAnsi="仿宋" w:eastAsia="仿宋" w:cs="仿宋"/>
          <w:b w:val="0"/>
          <w:bCs w:val="0"/>
          <w:color w:val="000000" w:themeColor="text1"/>
          <w:sz w:val="30"/>
          <w:szCs w:val="30"/>
          <w:u w:val="none"/>
          <w:lang w:val="en-US" w:eastAsia="zh-CN"/>
          <w14:textFill>
            <w14:solidFill>
              <w14:schemeClr w14:val="tx1"/>
            </w14:solidFill>
          </w14:textFill>
        </w:rPr>
      </w:pPr>
      <w:bookmarkStart w:id="62" w:name="_Toc29017"/>
      <w:r>
        <w:rPr>
          <w:rFonts w:hint="eastAsia" w:ascii="仿宋" w:hAnsi="仿宋" w:eastAsia="仿宋" w:cs="仿宋"/>
          <w:b w:val="0"/>
          <w:bCs w:val="0"/>
          <w:color w:val="000000" w:themeColor="text1"/>
          <w:sz w:val="30"/>
          <w:szCs w:val="30"/>
          <w:u w:val="none"/>
          <w:lang w:val="en-US" w:eastAsia="zh-CN"/>
          <w14:textFill>
            <w14:solidFill>
              <w14:schemeClr w14:val="tx1"/>
            </w14:solidFill>
          </w14:textFill>
        </w:rPr>
        <w:t>2.树立需求导向办学理念。</w:t>
      </w:r>
      <w:r>
        <w:rPr>
          <w:rFonts w:hint="eastAsia" w:ascii="仿宋" w:hAnsi="仿宋" w:eastAsia="仿宋" w:cs="仿宋"/>
          <w:b w:val="0"/>
          <w:bCs w:val="0"/>
          <w:color w:val="0000FF"/>
          <w:sz w:val="30"/>
          <w:szCs w:val="30"/>
          <w:u w:val="none"/>
          <w:lang w:val="en-US" w:eastAsia="zh-CN"/>
        </w:rPr>
        <w:t>坚持“面向市场，需求导向”</w:t>
      </w:r>
      <w:r>
        <w:rPr>
          <w:rFonts w:hint="eastAsia" w:ascii="仿宋" w:hAnsi="仿宋" w:eastAsia="仿宋" w:cs="仿宋"/>
          <w:b w:val="0"/>
          <w:bCs w:val="0"/>
          <w:color w:val="000000" w:themeColor="text1"/>
          <w:sz w:val="30"/>
          <w:szCs w:val="30"/>
          <w:u w:val="none"/>
          <w:lang w:val="en-US" w:eastAsia="zh-CN"/>
          <w14:textFill>
            <w14:solidFill>
              <w14:schemeClr w14:val="tx1"/>
            </w14:solidFill>
          </w14:textFill>
        </w:rPr>
        <w:t>，形成直面市场、适应市场、满足市场需求的办学思维；要密切关注当地经济发展动态和职业岗位变化趋势，促进专业链与产业链、创新链、价值链的有机结合，打造优势专业集群，促进产教深度融合</w:t>
      </w:r>
      <w:r>
        <w:rPr>
          <w:rFonts w:hint="eastAsia" w:ascii="仿宋" w:hAnsi="仿宋" w:eastAsia="仿宋" w:cs="仿宋"/>
          <w:b w:val="0"/>
          <w:bCs w:val="0"/>
          <w:color w:val="0000FF"/>
          <w:sz w:val="30"/>
          <w:szCs w:val="30"/>
          <w:u w:val="none"/>
          <w:lang w:val="en-US" w:eastAsia="zh-CN"/>
        </w:rPr>
        <w:t>校企合作</w:t>
      </w:r>
      <w:r>
        <w:rPr>
          <w:rFonts w:hint="eastAsia" w:ascii="仿宋" w:hAnsi="仿宋" w:eastAsia="仿宋" w:cs="仿宋"/>
          <w:b w:val="0"/>
          <w:bCs w:val="0"/>
          <w:color w:val="000000" w:themeColor="text1"/>
          <w:sz w:val="30"/>
          <w:szCs w:val="30"/>
          <w:u w:val="none"/>
          <w:lang w:val="en-US" w:eastAsia="zh-CN"/>
          <w14:textFill>
            <w14:solidFill>
              <w14:schemeClr w14:val="tx1"/>
            </w14:solidFill>
          </w14:textFill>
        </w:rPr>
        <w:t>，实现人才培养与社会需求无缝对接。</w:t>
      </w:r>
      <w:bookmarkEnd w:id="62"/>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20" w:lineRule="exact"/>
        <w:ind w:left="0" w:leftChars="0" w:right="0" w:firstLine="600" w:firstLineChars="200"/>
        <w:jc w:val="both"/>
        <w:textAlignment w:val="auto"/>
        <w:outlineLvl w:val="2"/>
        <w:rPr>
          <w:rFonts w:hint="eastAsia" w:ascii="仿宋" w:hAnsi="仿宋" w:eastAsia="仿宋" w:cs="仿宋"/>
          <w:b w:val="0"/>
          <w:bCs w:val="0"/>
          <w:color w:val="000000" w:themeColor="text1"/>
          <w:sz w:val="30"/>
          <w:szCs w:val="30"/>
          <w:u w:val="none"/>
          <w:lang w:val="en-US" w:eastAsia="zh-CN"/>
          <w14:textFill>
            <w14:solidFill>
              <w14:schemeClr w14:val="tx1"/>
            </w14:solidFill>
          </w14:textFill>
        </w:rPr>
      </w:pPr>
      <w:bookmarkStart w:id="63" w:name="_Toc12983"/>
      <w:r>
        <w:rPr>
          <w:rFonts w:hint="eastAsia" w:ascii="仿宋" w:hAnsi="仿宋" w:eastAsia="仿宋" w:cs="仿宋"/>
          <w:b w:val="0"/>
          <w:bCs w:val="0"/>
          <w:color w:val="000000" w:themeColor="text1"/>
          <w:sz w:val="30"/>
          <w:szCs w:val="30"/>
          <w:u w:val="none"/>
          <w:lang w:val="en-US" w:eastAsia="zh-CN"/>
          <w14:textFill>
            <w14:solidFill>
              <w14:schemeClr w14:val="tx1"/>
            </w14:solidFill>
          </w14:textFill>
        </w:rPr>
        <w:t>3.树立开放办学理念。</w:t>
      </w:r>
      <w:r>
        <w:rPr>
          <w:rFonts w:hint="eastAsia" w:ascii="仿宋" w:hAnsi="仿宋" w:eastAsia="仿宋" w:cs="仿宋"/>
          <w:b w:val="0"/>
          <w:bCs w:val="0"/>
          <w:color w:val="0000FF"/>
          <w:sz w:val="30"/>
          <w:szCs w:val="30"/>
          <w:u w:val="none"/>
          <w:lang w:val="en-US" w:eastAsia="zh-CN"/>
        </w:rPr>
        <w:t>坚持“开放办学，服务社会”</w:t>
      </w:r>
      <w:r>
        <w:rPr>
          <w:rFonts w:hint="eastAsia" w:ascii="仿宋" w:hAnsi="仿宋" w:eastAsia="仿宋" w:cs="仿宋"/>
          <w:b w:val="0"/>
          <w:bCs w:val="0"/>
          <w:color w:val="000000" w:themeColor="text1"/>
          <w:sz w:val="30"/>
          <w:szCs w:val="30"/>
          <w:u w:val="none"/>
          <w:lang w:val="en-US" w:eastAsia="zh-CN"/>
          <w14:textFill>
            <w14:solidFill>
              <w14:schemeClr w14:val="tx1"/>
            </w14:solidFill>
          </w14:textFill>
        </w:rPr>
        <w:t>，通过开放办学提供应用型人才培养需要的职场环境，促进校企校地合作，构建高校、政府、社会三位一体协同发展新格局，聚合优质教育资源要素，搭建合作教育平台，促进学生实践能力培养和“双师型”教师队伍建设，实现学校与企业两种文化的交融与共赢。</w:t>
      </w:r>
      <w:bookmarkEnd w:id="63"/>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20" w:lineRule="exact"/>
        <w:ind w:left="0" w:leftChars="0" w:right="0" w:firstLine="600" w:firstLineChars="200"/>
        <w:jc w:val="both"/>
        <w:textAlignment w:val="auto"/>
        <w:outlineLvl w:val="2"/>
        <w:rPr>
          <w:rFonts w:hint="eastAsia" w:ascii="仿宋" w:hAnsi="仿宋" w:eastAsia="仿宋" w:cs="仿宋"/>
          <w:color w:val="000000" w:themeColor="text1"/>
          <w:sz w:val="30"/>
          <w:szCs w:val="30"/>
          <w:u w:val="none"/>
          <w:lang w:val="en-US" w:eastAsia="zh-CN"/>
          <w14:textFill>
            <w14:solidFill>
              <w14:schemeClr w14:val="tx1"/>
            </w14:solidFill>
          </w14:textFill>
        </w:rPr>
      </w:pPr>
      <w:bookmarkStart w:id="64" w:name="_Toc8571"/>
      <w:r>
        <w:rPr>
          <w:rFonts w:hint="eastAsia" w:ascii="仿宋" w:hAnsi="仿宋" w:eastAsia="仿宋" w:cs="仿宋"/>
          <w:b w:val="0"/>
          <w:bCs w:val="0"/>
          <w:color w:val="000000" w:themeColor="text1"/>
          <w:sz w:val="30"/>
          <w:szCs w:val="30"/>
          <w:u w:val="none"/>
          <w:lang w:val="en-US" w:eastAsia="zh-CN"/>
          <w14:textFill>
            <w14:solidFill>
              <w14:schemeClr w14:val="tx1"/>
            </w14:solidFill>
          </w14:textFill>
        </w:rPr>
        <w:t>4.树立特色化办学理念。</w:t>
      </w:r>
      <w:r>
        <w:rPr>
          <w:rFonts w:hint="eastAsia" w:ascii="仿宋" w:hAnsi="仿宋" w:eastAsia="仿宋" w:cs="仿宋"/>
          <w:b w:val="0"/>
          <w:bCs w:val="0"/>
          <w:color w:val="0000FF"/>
          <w:sz w:val="30"/>
          <w:szCs w:val="30"/>
          <w:u w:val="none"/>
          <w:lang w:val="en-US" w:eastAsia="zh-CN"/>
        </w:rPr>
        <w:t>坚持“特色办学，创新发展”</w:t>
      </w:r>
      <w:r>
        <w:rPr>
          <w:rFonts w:hint="eastAsia" w:ascii="仿宋" w:hAnsi="仿宋" w:eastAsia="仿宋" w:cs="仿宋"/>
          <w:b w:val="0"/>
          <w:bCs w:val="0"/>
          <w:color w:val="000000" w:themeColor="text1"/>
          <w:sz w:val="30"/>
          <w:szCs w:val="30"/>
          <w:u w:val="none"/>
          <w:lang w:val="en-US" w:eastAsia="zh-CN"/>
          <w14:textFill>
            <w14:solidFill>
              <w14:schemeClr w14:val="tx1"/>
            </w14:solidFill>
          </w14:textFill>
        </w:rPr>
        <w:t>，</w:t>
      </w:r>
      <w:r>
        <w:rPr>
          <w:rFonts w:hint="eastAsia" w:ascii="仿宋" w:hAnsi="仿宋" w:eastAsia="仿宋" w:cs="仿宋"/>
          <w:color w:val="000000" w:themeColor="text1"/>
          <w:sz w:val="30"/>
          <w:szCs w:val="30"/>
          <w:u w:val="none"/>
          <w:lang w:val="en-US" w:eastAsia="zh-CN"/>
          <w14:textFill>
            <w14:solidFill>
              <w14:schemeClr w14:val="tx1"/>
            </w14:solidFill>
          </w14:textFill>
        </w:rPr>
        <w:t>高水平特色是推动</w:t>
      </w:r>
      <w:r>
        <w:rPr>
          <w:rFonts w:hint="eastAsia" w:ascii="仿宋" w:hAnsi="仿宋" w:eastAsia="仿宋" w:cs="仿宋"/>
          <w:color w:val="0000FF"/>
          <w:sz w:val="30"/>
          <w:szCs w:val="30"/>
          <w:u w:val="none"/>
          <w:lang w:val="en-US" w:eastAsia="zh-CN"/>
        </w:rPr>
        <w:t>学校高质量</w:t>
      </w:r>
      <w:r>
        <w:rPr>
          <w:rFonts w:hint="eastAsia" w:ascii="仿宋" w:hAnsi="仿宋" w:eastAsia="仿宋" w:cs="仿宋"/>
          <w:color w:val="000000" w:themeColor="text1"/>
          <w:sz w:val="30"/>
          <w:szCs w:val="30"/>
          <w:u w:val="none"/>
          <w:lang w:val="en-US" w:eastAsia="zh-CN"/>
          <w14:textFill>
            <w14:solidFill>
              <w14:schemeClr w14:val="tx1"/>
            </w14:solidFill>
          </w14:textFill>
        </w:rPr>
        <w:t>发展的重要“引擎”，要正确认识和把握办学特色，在此基础上发挥办学的创新性与创造力，是全面提升人才培养质量的基础和关键；要积极探索构建富有特色的符合高素质应用型创新型人才培养规律的特色育人模式。</w:t>
      </w:r>
      <w:bookmarkEnd w:id="64"/>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20" w:lineRule="exact"/>
        <w:ind w:left="0" w:leftChars="0" w:right="0" w:firstLine="602" w:firstLineChars="200"/>
        <w:jc w:val="both"/>
        <w:textAlignment w:val="auto"/>
        <w:outlineLvl w:val="1"/>
        <w:rPr>
          <w:rFonts w:hint="eastAsia" w:ascii="仿宋" w:hAnsi="仿宋" w:eastAsia="仿宋" w:cs="仿宋"/>
          <w:b w:val="0"/>
          <w:bCs/>
          <w:color w:val="000000" w:themeColor="text1"/>
          <w:kern w:val="2"/>
          <w:sz w:val="30"/>
          <w:szCs w:val="30"/>
          <w:u w:val="none"/>
          <w:lang w:val="en-US" w:eastAsia="zh-CN" w:bidi="ar-SA"/>
          <w14:textFill>
            <w14:solidFill>
              <w14:schemeClr w14:val="tx1"/>
            </w14:solidFill>
          </w14:textFill>
        </w:rPr>
      </w:pPr>
      <w:bookmarkStart w:id="65" w:name="_Toc27467"/>
      <w:r>
        <w:rPr>
          <w:rFonts w:hint="eastAsia" w:ascii="仿宋" w:hAnsi="仿宋" w:eastAsia="仿宋" w:cs="仿宋"/>
          <w:b/>
          <w:bCs/>
          <w:color w:val="000000" w:themeColor="text1"/>
          <w:sz w:val="30"/>
          <w:szCs w:val="30"/>
          <w:u w:val="none"/>
          <w:lang w:val="en-US" w:eastAsia="zh-CN"/>
          <w14:textFill>
            <w14:solidFill>
              <w14:schemeClr w14:val="tx1"/>
            </w14:solidFill>
          </w14:textFill>
        </w:rPr>
        <w:t>（三）</w:t>
      </w:r>
      <w:r>
        <w:rPr>
          <w:rFonts w:hint="eastAsia" w:ascii="仿宋" w:hAnsi="仿宋" w:eastAsia="仿宋" w:cs="仿宋"/>
          <w:b/>
          <w:bCs/>
          <w:color w:val="FF0000"/>
          <w:sz w:val="30"/>
          <w:szCs w:val="30"/>
          <w:u w:val="none"/>
          <w:lang w:val="en-US" w:eastAsia="zh-CN"/>
        </w:rPr>
        <w:t>以应用型学科专业建设为龙头，</w:t>
      </w:r>
      <w:r>
        <w:rPr>
          <w:rFonts w:hint="eastAsia" w:ascii="仿宋" w:hAnsi="仿宋" w:eastAsia="仿宋" w:cs="仿宋"/>
          <w:b/>
          <w:bCs/>
          <w:color w:val="FF0000"/>
          <w:kern w:val="2"/>
          <w:sz w:val="30"/>
          <w:szCs w:val="30"/>
          <w:u w:val="none"/>
          <w:lang w:val="en-US" w:eastAsia="zh-CN" w:bidi="ar-SA"/>
        </w:rPr>
        <w:t>打造学科专业建设新格局</w:t>
      </w:r>
      <w:bookmarkEnd w:id="65"/>
    </w:p>
    <w:p>
      <w:pPr>
        <w:pStyle w:val="7"/>
        <w:keepNext w:val="0"/>
        <w:keepLines w:val="0"/>
        <w:pageBreakBefore w:val="0"/>
        <w:numPr>
          <w:ilvl w:val="0"/>
          <w:numId w:val="0"/>
        </w:numPr>
        <w:kinsoku/>
        <w:wordWrap/>
        <w:overflowPunct/>
        <w:topLinePunct w:val="0"/>
        <w:autoSpaceDE/>
        <w:autoSpaceDN/>
        <w:bidi w:val="0"/>
        <w:adjustRightInd/>
        <w:snapToGrid/>
        <w:spacing w:beforeAutospacing="0" w:afterAutospacing="0" w:line="520" w:lineRule="exact"/>
        <w:ind w:left="0" w:leftChars="0" w:right="0" w:rightChars="0" w:firstLine="602" w:firstLineChars="200"/>
        <w:jc w:val="both"/>
        <w:textAlignment w:val="auto"/>
        <w:outlineLvl w:val="2"/>
        <w:rPr>
          <w:rFonts w:hint="eastAsia" w:ascii="仿宋" w:hAnsi="仿宋" w:eastAsia="仿宋" w:cs="仿宋"/>
          <w:b/>
          <w:bCs/>
          <w:color w:val="000000" w:themeColor="text1"/>
          <w:sz w:val="30"/>
          <w:szCs w:val="30"/>
          <w:u w:val="none"/>
          <w14:textFill>
            <w14:solidFill>
              <w14:schemeClr w14:val="tx1"/>
            </w14:solidFill>
          </w14:textFill>
        </w:rPr>
      </w:pPr>
      <w:bookmarkStart w:id="66" w:name="_Toc32630"/>
      <w:r>
        <w:rPr>
          <w:rFonts w:hint="eastAsia" w:ascii="仿宋" w:hAnsi="仿宋" w:eastAsia="仿宋" w:cs="仿宋"/>
          <w:b/>
          <w:color w:val="000000" w:themeColor="text1"/>
          <w:sz w:val="30"/>
          <w:szCs w:val="30"/>
          <w:u w:val="none"/>
          <w:lang w:val="en-US" w:eastAsia="zh-CN"/>
          <w14:textFill>
            <w14:solidFill>
              <w14:schemeClr w14:val="tx1"/>
            </w14:solidFill>
          </w14:textFill>
        </w:rPr>
        <w:t>1.</w:t>
      </w:r>
      <w:r>
        <w:rPr>
          <w:rFonts w:hint="eastAsia" w:cs="仿宋"/>
          <w:b/>
          <w:bCs/>
          <w:color w:val="FF0000"/>
          <w:sz w:val="30"/>
          <w:szCs w:val="30"/>
          <w:u w:val="none"/>
          <w:lang w:val="en-US" w:eastAsia="zh-CN"/>
        </w:rPr>
        <w:t>优化专业布局</w:t>
      </w:r>
      <w:r>
        <w:rPr>
          <w:rFonts w:hint="eastAsia" w:ascii="仿宋" w:hAnsi="仿宋" w:eastAsia="仿宋" w:cs="仿宋"/>
          <w:b/>
          <w:bCs/>
          <w:color w:val="000000" w:themeColor="text1"/>
          <w:sz w:val="30"/>
          <w:szCs w:val="30"/>
          <w:u w:val="none"/>
          <w14:textFill>
            <w14:solidFill>
              <w14:schemeClr w14:val="tx1"/>
            </w14:solidFill>
          </w14:textFill>
        </w:rPr>
        <w:t>，促进学科</w:t>
      </w:r>
      <w:r>
        <w:rPr>
          <w:rFonts w:hint="eastAsia" w:ascii="仿宋" w:hAnsi="仿宋" w:eastAsia="仿宋" w:cs="仿宋"/>
          <w:b/>
          <w:bCs/>
          <w:color w:val="000000" w:themeColor="text1"/>
          <w:sz w:val="30"/>
          <w:szCs w:val="30"/>
          <w:u w:val="none"/>
          <w:lang w:eastAsia="zh-CN"/>
          <w14:textFill>
            <w14:solidFill>
              <w14:schemeClr w14:val="tx1"/>
            </w14:solidFill>
          </w14:textFill>
        </w:rPr>
        <w:t>专业可</w:t>
      </w:r>
      <w:r>
        <w:rPr>
          <w:rFonts w:hint="eastAsia" w:ascii="仿宋" w:hAnsi="仿宋" w:eastAsia="仿宋" w:cs="仿宋"/>
          <w:b/>
          <w:bCs/>
          <w:color w:val="000000" w:themeColor="text1"/>
          <w:sz w:val="30"/>
          <w:szCs w:val="30"/>
          <w:u w:val="none"/>
          <w14:textFill>
            <w14:solidFill>
              <w14:schemeClr w14:val="tx1"/>
            </w14:solidFill>
          </w14:textFill>
        </w:rPr>
        <w:t>持续发展</w:t>
      </w:r>
      <w:bookmarkEnd w:id="66"/>
    </w:p>
    <w:p>
      <w:pPr>
        <w:keepNext w:val="0"/>
        <w:keepLines w:val="0"/>
        <w:pageBreakBefore w:val="0"/>
        <w:widowControl/>
        <w:kinsoku/>
        <w:wordWrap/>
        <w:overflowPunct/>
        <w:topLinePunct w:val="0"/>
        <w:autoSpaceDE/>
        <w:autoSpaceDN/>
        <w:bidi w:val="0"/>
        <w:adjustRightInd/>
        <w:snapToGrid/>
        <w:spacing w:line="520" w:lineRule="exact"/>
        <w:ind w:firstLine="600" w:firstLineChars="200"/>
        <w:textAlignment w:val="auto"/>
        <w:rPr>
          <w:rFonts w:hint="eastAsia" w:ascii="仿宋" w:hAnsi="仿宋" w:eastAsia="仿宋" w:cs="仿宋"/>
          <w:b/>
          <w:color w:val="000000" w:themeColor="text1"/>
          <w:sz w:val="30"/>
          <w:szCs w:val="30"/>
          <w:u w:val="none"/>
          <w:lang w:val="en-US" w:eastAsia="zh-CN"/>
          <w14:textFill>
            <w14:solidFill>
              <w14:schemeClr w14:val="tx1"/>
            </w14:solidFill>
          </w14:textFill>
        </w:rPr>
      </w:pPr>
      <w:bookmarkStart w:id="67" w:name="_Toc15052"/>
      <w:r>
        <w:rPr>
          <w:rFonts w:hint="eastAsia" w:ascii="仿宋" w:hAnsi="仿宋" w:eastAsia="仿宋" w:cs="仿宋"/>
          <w:b w:val="0"/>
          <w:bCs/>
          <w:color w:val="000000" w:themeColor="text1"/>
          <w:kern w:val="2"/>
          <w:sz w:val="30"/>
          <w:szCs w:val="30"/>
          <w:u w:val="none"/>
          <w:lang w:val="en-US" w:eastAsia="zh-CN" w:bidi="ar-SA"/>
          <w14:textFill>
            <w14:solidFill>
              <w14:schemeClr w14:val="tx1"/>
            </w14:solidFill>
          </w14:textFill>
        </w:rPr>
        <w:t>按照“加快做强提升农科，积极发展特色学科，稳步发展应用型工科和人文学科”的建设思路，加强以新兴学科专业布局、传统专业改造和新农科为主导的一流专业建设，构建学科专业建设新格局</w:t>
      </w:r>
      <w:bookmarkEnd w:id="67"/>
      <w:r>
        <w:rPr>
          <w:rFonts w:hint="eastAsia" w:ascii="仿宋" w:hAnsi="仿宋" w:eastAsia="仿宋" w:cs="仿宋"/>
          <w:b w:val="0"/>
          <w:bCs/>
          <w:color w:val="000000" w:themeColor="text1"/>
          <w:kern w:val="2"/>
          <w:sz w:val="30"/>
          <w:szCs w:val="30"/>
          <w:u w:val="none"/>
          <w:lang w:val="en-US" w:eastAsia="zh-CN" w:bidi="ar-SA"/>
          <w14:textFill>
            <w14:solidFill>
              <w14:schemeClr w14:val="tx1"/>
            </w14:solidFill>
          </w14:textFill>
        </w:rPr>
        <w:t>，</w:t>
      </w:r>
      <w:r>
        <w:rPr>
          <w:rFonts w:hint="eastAsia" w:ascii="仿宋" w:hAnsi="仿宋" w:eastAsia="仿宋" w:cs="仿宋"/>
          <w:b w:val="0"/>
          <w:bCs/>
          <w:color w:val="0000FF"/>
          <w:kern w:val="2"/>
          <w:sz w:val="30"/>
          <w:szCs w:val="30"/>
          <w:u w:val="none"/>
          <w:lang w:val="en-US" w:eastAsia="zh-CN" w:bidi="ar-SA"/>
        </w:rPr>
        <w:t>通过</w:t>
      </w:r>
      <w:r>
        <w:rPr>
          <w:rFonts w:hint="eastAsia" w:ascii="仿宋" w:hAnsi="仿宋" w:eastAsia="仿宋" w:cs="仿宋"/>
          <w:b w:val="0"/>
          <w:bCs/>
          <w:color w:val="FF0000"/>
          <w:kern w:val="2"/>
          <w:sz w:val="30"/>
          <w:szCs w:val="30"/>
          <w:u w:val="none"/>
          <w:lang w:val="en-US" w:eastAsia="zh-CN" w:bidi="ar-SA"/>
        </w:rPr>
        <w:t>深化本科专业供给侧改革，建立健全专业动态调整机制，做好“存量升级、增量优化、余量消减”。通过</w:t>
      </w:r>
      <w:r>
        <w:rPr>
          <w:rFonts w:hint="eastAsia" w:ascii="仿宋" w:hAnsi="仿宋" w:eastAsia="仿宋" w:cs="仿宋"/>
          <w:b/>
          <w:bCs w:val="0"/>
          <w:color w:val="000000" w:themeColor="text1"/>
          <w:kern w:val="2"/>
          <w:sz w:val="30"/>
          <w:szCs w:val="30"/>
          <w:u w:val="none"/>
          <w:lang w:val="en-US" w:eastAsia="zh-CN" w:bidi="ar-SA"/>
          <w14:textFill>
            <w14:solidFill>
              <w14:schemeClr w14:val="tx1"/>
            </w14:solidFill>
          </w14:textFill>
        </w:rPr>
        <w:t>调好学科存量</w:t>
      </w:r>
      <w:r>
        <w:rPr>
          <w:rFonts w:hint="eastAsia" w:ascii="仿宋" w:hAnsi="仿宋" w:eastAsia="仿宋" w:cs="仿宋"/>
          <w:b w:val="0"/>
          <w:bCs/>
          <w:color w:val="000000" w:themeColor="text1"/>
          <w:kern w:val="2"/>
          <w:sz w:val="30"/>
          <w:szCs w:val="30"/>
          <w:u w:val="none"/>
          <w:lang w:val="en-US" w:eastAsia="zh-CN" w:bidi="ar-SA"/>
          <w14:textFill>
            <w14:solidFill>
              <w14:schemeClr w14:val="tx1"/>
            </w14:solidFill>
          </w14:textFill>
        </w:rPr>
        <w:t>，在合理控制和压缩专业规模、优化学科专业结构基础上，</w:t>
      </w:r>
      <w:r>
        <w:rPr>
          <w:rFonts w:hint="eastAsia" w:ascii="仿宋" w:hAnsi="仿宋" w:eastAsia="仿宋" w:cs="仿宋"/>
          <w:b w:val="0"/>
          <w:bCs/>
          <w:color w:val="FF0000"/>
          <w:kern w:val="2"/>
          <w:sz w:val="30"/>
          <w:szCs w:val="30"/>
          <w:u w:val="none"/>
          <w:lang w:val="en-US" w:eastAsia="zh-CN" w:bidi="ar-SA"/>
        </w:rPr>
        <w:t>融入现代教育新理念、新技术</w:t>
      </w:r>
      <w:r>
        <w:rPr>
          <w:rFonts w:hint="eastAsia" w:ascii="仿宋" w:hAnsi="仿宋" w:eastAsia="仿宋" w:cs="仿宋"/>
          <w:b w:val="0"/>
          <w:bCs/>
          <w:color w:val="000000" w:themeColor="text1"/>
          <w:kern w:val="2"/>
          <w:sz w:val="30"/>
          <w:szCs w:val="30"/>
          <w:u w:val="none"/>
          <w:lang w:val="en-US" w:eastAsia="zh-CN" w:bidi="ar-SA"/>
          <w14:textFill>
            <w14:solidFill>
              <w14:schemeClr w14:val="tx1"/>
            </w14:solidFill>
          </w14:textFill>
        </w:rPr>
        <w:t>改造提升传统学科专业；通过</w:t>
      </w:r>
      <w:r>
        <w:rPr>
          <w:rFonts w:hint="eastAsia" w:ascii="仿宋" w:hAnsi="仿宋" w:eastAsia="仿宋" w:cs="仿宋"/>
          <w:b/>
          <w:bCs w:val="0"/>
          <w:color w:val="000000" w:themeColor="text1"/>
          <w:kern w:val="2"/>
          <w:sz w:val="30"/>
          <w:szCs w:val="30"/>
          <w:u w:val="none"/>
          <w:lang w:val="en-US" w:eastAsia="zh-CN" w:bidi="ar-SA"/>
          <w14:textFill>
            <w14:solidFill>
              <w14:schemeClr w14:val="tx1"/>
            </w14:solidFill>
          </w14:textFill>
        </w:rPr>
        <w:t>做优学科增量，</w:t>
      </w:r>
      <w:r>
        <w:rPr>
          <w:rFonts w:hint="eastAsia" w:ascii="仿宋" w:hAnsi="仿宋" w:eastAsia="仿宋" w:cs="仿宋"/>
          <w:b w:val="0"/>
          <w:bCs/>
          <w:color w:val="000000" w:themeColor="text1"/>
          <w:kern w:val="2"/>
          <w:sz w:val="30"/>
          <w:szCs w:val="30"/>
          <w:u w:val="none"/>
          <w:lang w:val="en-US" w:eastAsia="zh-CN" w:bidi="ar-SA"/>
          <w14:textFill>
            <w14:solidFill>
              <w14:schemeClr w14:val="tx1"/>
            </w14:solidFill>
          </w14:textFill>
        </w:rPr>
        <w:t>主动适应国家和河南省</w:t>
      </w:r>
      <w:r>
        <w:rPr>
          <w:rFonts w:hint="eastAsia" w:ascii="仿宋" w:hAnsi="仿宋" w:eastAsia="仿宋" w:cs="仿宋"/>
          <w:b w:val="0"/>
          <w:bCs/>
          <w:color w:val="FF0000"/>
          <w:kern w:val="2"/>
          <w:sz w:val="30"/>
          <w:szCs w:val="30"/>
          <w:u w:val="none"/>
          <w:lang w:val="en-US" w:eastAsia="zh-CN" w:bidi="ar-SA"/>
        </w:rPr>
        <w:t>、信阳市等</w:t>
      </w:r>
      <w:r>
        <w:rPr>
          <w:rFonts w:hint="eastAsia" w:ascii="仿宋" w:hAnsi="仿宋" w:eastAsia="仿宋" w:cs="仿宋"/>
          <w:b w:val="0"/>
          <w:bCs/>
          <w:color w:val="000000" w:themeColor="text1"/>
          <w:kern w:val="2"/>
          <w:sz w:val="30"/>
          <w:szCs w:val="30"/>
          <w:u w:val="none"/>
          <w:lang w:val="en-US" w:eastAsia="zh-CN" w:bidi="ar-SA"/>
          <w14:textFill>
            <w14:solidFill>
              <w14:schemeClr w14:val="tx1"/>
            </w14:solidFill>
          </w14:textFill>
        </w:rPr>
        <w:t>经济结构战略性调整和新一轮科技革命和产业革命，以新理念、新形态、新方法推动“四新”建设，重点布局支撑智能农业、生态保护与修护、生物医药、现代服务业、数字经济等产业创新发展的学科专业，到“十四五”末，建设 3-5个具有引领作用的新兴学科专业</w:t>
      </w:r>
      <w:r>
        <w:rPr>
          <w:rFonts w:hint="eastAsia" w:ascii="仿宋" w:hAnsi="仿宋" w:eastAsia="仿宋" w:cs="仿宋"/>
          <w:b w:val="0"/>
          <w:bCs/>
          <w:color w:val="0000FF"/>
          <w:kern w:val="2"/>
          <w:sz w:val="30"/>
          <w:szCs w:val="30"/>
          <w:u w:val="none"/>
          <w:lang w:val="en-US" w:eastAsia="zh-CN" w:bidi="ar-SA"/>
        </w:rPr>
        <w:t>；通过</w:t>
      </w:r>
      <w:r>
        <w:rPr>
          <w:rFonts w:hint="eastAsia" w:ascii="仿宋" w:hAnsi="仿宋" w:eastAsia="仿宋" w:cs="仿宋"/>
          <w:b/>
          <w:bCs w:val="0"/>
          <w:color w:val="0000FF"/>
          <w:kern w:val="2"/>
          <w:sz w:val="30"/>
          <w:szCs w:val="30"/>
          <w:u w:val="none"/>
          <w:lang w:val="en-US" w:eastAsia="zh-CN" w:bidi="ar-SA"/>
        </w:rPr>
        <w:t>合理</w:t>
      </w:r>
      <w:r>
        <w:rPr>
          <w:rFonts w:hint="eastAsia" w:ascii="仿宋" w:hAnsi="仿宋" w:eastAsia="仿宋" w:cs="仿宋"/>
          <w:b/>
          <w:bCs w:val="0"/>
          <w:color w:val="000000" w:themeColor="text1"/>
          <w:kern w:val="2"/>
          <w:sz w:val="30"/>
          <w:szCs w:val="30"/>
          <w:u w:val="none"/>
          <w:lang w:val="en-US" w:eastAsia="zh-CN" w:bidi="ar-SA"/>
          <w14:textFill>
            <w14:solidFill>
              <w14:schemeClr w14:val="tx1"/>
            </w14:solidFill>
          </w14:textFill>
        </w:rPr>
        <w:t>消减余量，</w:t>
      </w:r>
      <w:r>
        <w:rPr>
          <w:rFonts w:hint="eastAsia" w:ascii="仿宋" w:hAnsi="仿宋" w:eastAsia="仿宋" w:cs="仿宋"/>
          <w:b w:val="0"/>
          <w:bCs/>
          <w:color w:val="000000" w:themeColor="text1"/>
          <w:kern w:val="2"/>
          <w:sz w:val="30"/>
          <w:szCs w:val="30"/>
          <w:u w:val="none"/>
          <w:lang w:val="en-US" w:eastAsia="zh-CN" w:bidi="ar-SA"/>
          <w14:textFill>
            <w14:solidFill>
              <w14:schemeClr w14:val="tx1"/>
            </w14:solidFill>
          </w14:textFill>
        </w:rPr>
        <w:t>对近三年社会就业率较低、社会需求饱和或连续两年专业评估排序在后30%的专业进行专项督察，采取减少招生计划、隔年招生或停止招生措施。力争整体上建设一支农科优势特色更加鲜明、新农科建设具有比较优势、新兴学科发展良好、结构更加科学的应用型学科专业体系。</w:t>
      </w:r>
    </w:p>
    <w:p>
      <w:pPr>
        <w:pStyle w:val="16"/>
        <w:keepNext w:val="0"/>
        <w:keepLines w:val="0"/>
        <w:pageBreakBefore w:val="0"/>
        <w:numPr>
          <w:ilvl w:val="0"/>
          <w:numId w:val="0"/>
        </w:numPr>
        <w:tabs>
          <w:tab w:val="left" w:pos="1239"/>
        </w:tabs>
        <w:kinsoku/>
        <w:wordWrap/>
        <w:overflowPunct/>
        <w:topLinePunct w:val="0"/>
        <w:autoSpaceDE/>
        <w:autoSpaceDN/>
        <w:bidi w:val="0"/>
        <w:adjustRightInd/>
        <w:snapToGrid/>
        <w:spacing w:before="0" w:beforeAutospacing="0" w:afterAutospacing="0" w:line="520" w:lineRule="exact"/>
        <w:ind w:left="0" w:leftChars="0" w:right="0" w:rightChars="0" w:firstLine="602" w:firstLineChars="200"/>
        <w:jc w:val="both"/>
        <w:textAlignment w:val="auto"/>
        <w:outlineLvl w:val="2"/>
        <w:rPr>
          <w:rFonts w:hint="eastAsia" w:ascii="仿宋" w:hAnsi="仿宋" w:eastAsia="仿宋" w:cs="仿宋"/>
          <w:b/>
          <w:color w:val="000000" w:themeColor="text1"/>
          <w:sz w:val="30"/>
          <w:szCs w:val="30"/>
          <w:u w:val="none"/>
          <w14:textFill>
            <w14:solidFill>
              <w14:schemeClr w14:val="tx1"/>
            </w14:solidFill>
          </w14:textFill>
        </w:rPr>
      </w:pPr>
      <w:bookmarkStart w:id="68" w:name="_Toc4692"/>
      <w:r>
        <w:rPr>
          <w:rFonts w:hint="eastAsia" w:cs="仿宋"/>
          <w:b/>
          <w:color w:val="000000" w:themeColor="text1"/>
          <w:sz w:val="30"/>
          <w:szCs w:val="30"/>
          <w:u w:val="none"/>
          <w:lang w:val="en-US" w:eastAsia="zh-CN"/>
          <w14:textFill>
            <w14:solidFill>
              <w14:schemeClr w14:val="tx1"/>
            </w14:solidFill>
          </w14:textFill>
        </w:rPr>
        <w:t>2.</w:t>
      </w:r>
      <w:r>
        <w:rPr>
          <w:rFonts w:hint="eastAsia" w:ascii="仿宋" w:hAnsi="仿宋" w:eastAsia="仿宋" w:cs="仿宋"/>
          <w:b/>
          <w:color w:val="FF0000"/>
          <w:sz w:val="30"/>
          <w:szCs w:val="30"/>
          <w:u w:val="none"/>
        </w:rPr>
        <w:t>强化</w:t>
      </w:r>
      <w:r>
        <w:rPr>
          <w:rFonts w:hint="eastAsia" w:ascii="仿宋" w:hAnsi="仿宋" w:eastAsia="仿宋" w:cs="仿宋"/>
          <w:b/>
          <w:color w:val="FF0000"/>
          <w:sz w:val="30"/>
          <w:szCs w:val="30"/>
          <w:u w:val="none"/>
          <w:lang w:eastAsia="zh-CN"/>
        </w:rPr>
        <w:t>优势</w:t>
      </w:r>
      <w:r>
        <w:rPr>
          <w:rFonts w:hint="eastAsia" w:cs="仿宋"/>
          <w:b/>
          <w:color w:val="FF0000"/>
          <w:sz w:val="30"/>
          <w:szCs w:val="30"/>
          <w:u w:val="none"/>
          <w:lang w:eastAsia="zh-CN"/>
        </w:rPr>
        <w:t>引领</w:t>
      </w:r>
      <w:r>
        <w:rPr>
          <w:rFonts w:hint="eastAsia" w:ascii="仿宋" w:hAnsi="仿宋" w:eastAsia="仿宋" w:cs="仿宋"/>
          <w:b/>
          <w:color w:val="000000" w:themeColor="text1"/>
          <w:sz w:val="30"/>
          <w:szCs w:val="30"/>
          <w:u w:val="none"/>
          <w14:textFill>
            <w14:solidFill>
              <w14:schemeClr w14:val="tx1"/>
            </w14:solidFill>
          </w14:textFill>
        </w:rPr>
        <w:t>，</w:t>
      </w:r>
      <w:r>
        <w:rPr>
          <w:rFonts w:hint="eastAsia" w:cs="仿宋"/>
          <w:b/>
          <w:color w:val="0000FF"/>
          <w:sz w:val="30"/>
          <w:szCs w:val="30"/>
          <w:u w:val="none"/>
          <w:lang w:eastAsia="zh-CN"/>
        </w:rPr>
        <w:t>推进</w:t>
      </w:r>
      <w:r>
        <w:rPr>
          <w:rFonts w:hint="eastAsia" w:ascii="仿宋" w:hAnsi="仿宋" w:eastAsia="仿宋" w:cs="仿宋"/>
          <w:b/>
          <w:color w:val="000000" w:themeColor="text1"/>
          <w:sz w:val="30"/>
          <w:szCs w:val="30"/>
          <w:u w:val="none"/>
          <w:lang w:eastAsia="zh-CN"/>
          <w14:textFill>
            <w14:solidFill>
              <w14:schemeClr w14:val="tx1"/>
            </w14:solidFill>
          </w14:textFill>
        </w:rPr>
        <w:t>应用型学科专业</w:t>
      </w:r>
      <w:r>
        <w:rPr>
          <w:rFonts w:hint="eastAsia" w:cs="仿宋"/>
          <w:b/>
          <w:color w:val="0000FF"/>
          <w:sz w:val="30"/>
          <w:szCs w:val="30"/>
          <w:u w:val="none"/>
          <w:lang w:eastAsia="zh-CN"/>
        </w:rPr>
        <w:t>集群</w:t>
      </w:r>
      <w:r>
        <w:rPr>
          <w:rFonts w:hint="eastAsia" w:ascii="仿宋" w:hAnsi="仿宋" w:eastAsia="仿宋" w:cs="仿宋"/>
          <w:b/>
          <w:color w:val="000000" w:themeColor="text1"/>
          <w:sz w:val="30"/>
          <w:szCs w:val="30"/>
          <w:u w:val="none"/>
          <w14:textFill>
            <w14:solidFill>
              <w14:schemeClr w14:val="tx1"/>
            </w14:solidFill>
          </w14:textFill>
        </w:rPr>
        <w:t>建设</w:t>
      </w:r>
      <w:bookmarkEnd w:id="68"/>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20" w:lineRule="exact"/>
        <w:ind w:left="0" w:leftChars="0" w:right="0" w:firstLine="600" w:firstLineChars="200"/>
        <w:jc w:val="both"/>
        <w:textAlignment w:val="auto"/>
        <w:rPr>
          <w:rFonts w:hint="eastAsia" w:ascii="仿宋" w:hAnsi="仿宋" w:eastAsia="仿宋" w:cs="仿宋"/>
          <w:b w:val="0"/>
          <w:bCs/>
          <w:color w:val="0000FF"/>
          <w:kern w:val="2"/>
          <w:sz w:val="30"/>
          <w:szCs w:val="30"/>
          <w:u w:val="none"/>
          <w:lang w:val="en-US" w:eastAsia="zh-CN" w:bidi="ar-SA"/>
        </w:rPr>
      </w:pPr>
      <w:r>
        <w:rPr>
          <w:rFonts w:hint="eastAsia" w:ascii="仿宋" w:hAnsi="仿宋" w:eastAsia="仿宋" w:cs="仿宋"/>
          <w:color w:val="FF0000"/>
          <w:sz w:val="30"/>
          <w:szCs w:val="30"/>
        </w:rPr>
        <w:t>以“应用为要、集群发展、打造特色、提高质量”为原则，</w:t>
      </w:r>
      <w:r>
        <w:rPr>
          <w:rFonts w:hint="eastAsia" w:ascii="仿宋" w:hAnsi="仿宋" w:eastAsia="仿宋" w:cs="仿宋"/>
          <w:b w:val="0"/>
          <w:bCs/>
          <w:color w:val="0000FF"/>
          <w:kern w:val="2"/>
          <w:sz w:val="30"/>
          <w:szCs w:val="30"/>
          <w:u w:val="none"/>
          <w:lang w:val="en-US" w:eastAsia="zh-CN" w:bidi="ar-SA"/>
        </w:rPr>
        <w:t>以行业产业发展需求为导向，在招生计划和资源配置上重点扶持和加强服务区域主导产业和特色产业发展的专业群建设。重点</w:t>
      </w:r>
      <w:r>
        <w:rPr>
          <w:rFonts w:hint="eastAsia" w:ascii="仿宋" w:hAnsi="仿宋" w:eastAsia="仿宋" w:cs="仿宋"/>
          <w:b w:val="0"/>
          <w:bCs/>
          <w:color w:val="000000" w:themeColor="text1"/>
          <w:kern w:val="2"/>
          <w:sz w:val="30"/>
          <w:szCs w:val="30"/>
          <w:u w:val="none"/>
          <w:lang w:val="en-US" w:eastAsia="zh-CN" w:bidi="ar-SA"/>
          <w14:textFill>
            <w14:solidFill>
              <w14:schemeClr w14:val="tx1"/>
            </w14:solidFill>
          </w14:textFill>
        </w:rPr>
        <w:t>围绕大别山地区茶叶、油茶、再生稻、稻田综合种养、药材、蔬菜、苗木花卉、林果、食用菌、生猪、家禽、水产、中药材等特色产业发展要求，依托南部大别山北麓山地国家级重点生态功能区丰富的红绿</w:t>
      </w:r>
      <w:r>
        <w:rPr>
          <w:rFonts w:hint="eastAsia" w:ascii="仿宋" w:hAnsi="仿宋" w:eastAsia="仿宋" w:cs="仿宋"/>
          <w:b w:val="0"/>
          <w:bCs/>
          <w:color w:val="000000" w:themeColor="text1"/>
          <w:kern w:val="2"/>
          <w:sz w:val="30"/>
          <w:szCs w:val="30"/>
          <w:highlight w:val="none"/>
          <w:u w:val="none"/>
          <w:lang w:val="en-US" w:eastAsia="zh-CN" w:bidi="ar-SA"/>
          <w14:textFill>
            <w14:solidFill>
              <w14:schemeClr w14:val="tx1"/>
            </w14:solidFill>
          </w14:textFill>
        </w:rPr>
        <w:t>古</w:t>
      </w:r>
      <w:r>
        <w:rPr>
          <w:rFonts w:hint="eastAsia" w:ascii="仿宋" w:hAnsi="仿宋" w:eastAsia="仿宋" w:cs="仿宋"/>
          <w:b w:val="0"/>
          <w:bCs/>
          <w:color w:val="000000" w:themeColor="text1"/>
          <w:kern w:val="2"/>
          <w:sz w:val="30"/>
          <w:szCs w:val="30"/>
          <w:u w:val="none"/>
          <w:lang w:val="en-US" w:eastAsia="zh-CN" w:bidi="ar-SA"/>
          <w14:textFill>
            <w14:solidFill>
              <w14:schemeClr w14:val="tx1"/>
            </w14:solidFill>
          </w14:textFill>
        </w:rPr>
        <w:t>旅游资源以及农文旅融合等新产业新业态培育需求，</w:t>
      </w:r>
      <w:r>
        <w:rPr>
          <w:rFonts w:hint="eastAsia" w:ascii="仿宋" w:hAnsi="仿宋" w:eastAsia="仿宋" w:cs="仿宋"/>
          <w:b w:val="0"/>
          <w:bCs/>
          <w:color w:val="0000FF"/>
          <w:kern w:val="2"/>
          <w:sz w:val="30"/>
          <w:szCs w:val="30"/>
          <w:u w:val="none"/>
          <w:lang w:val="en-US" w:eastAsia="zh-CN" w:bidi="ar-SA"/>
        </w:rPr>
        <w:t>聚焦</w:t>
      </w:r>
      <w:r>
        <w:rPr>
          <w:rFonts w:hint="eastAsia" w:ascii="仿宋" w:hAnsi="仿宋" w:eastAsia="仿宋" w:cs="仿宋"/>
          <w:b w:val="0"/>
          <w:bCs/>
          <w:color w:val="000000" w:themeColor="text1"/>
          <w:kern w:val="2"/>
          <w:sz w:val="30"/>
          <w:szCs w:val="30"/>
          <w:u w:val="none"/>
          <w:lang w:val="en-US" w:eastAsia="zh-CN" w:bidi="ar-SA"/>
          <w14:textFill>
            <w14:solidFill>
              <w14:schemeClr w14:val="tx1"/>
            </w14:solidFill>
          </w14:textFill>
        </w:rPr>
        <w:t>专业核心竞争力建设和</w:t>
      </w:r>
      <w:r>
        <w:rPr>
          <w:rFonts w:hint="eastAsia" w:ascii="仿宋" w:hAnsi="仿宋" w:eastAsia="仿宋" w:cs="仿宋"/>
          <w:b w:val="0"/>
          <w:bCs/>
          <w:color w:val="0000FF"/>
          <w:kern w:val="2"/>
          <w:sz w:val="30"/>
          <w:szCs w:val="30"/>
          <w:u w:val="none"/>
          <w:lang w:val="en-US" w:eastAsia="zh-CN" w:bidi="ar-SA"/>
        </w:rPr>
        <w:t>服务于大别山区域行业产业、乡村振兴,集中打造</w:t>
      </w:r>
      <w:r>
        <w:rPr>
          <w:rFonts w:hint="eastAsia" w:ascii="仿宋" w:hAnsi="仿宋" w:eastAsia="仿宋" w:cs="仿宋"/>
          <w:b w:val="0"/>
          <w:bCs/>
          <w:color w:val="FF0000"/>
          <w:kern w:val="2"/>
          <w:sz w:val="30"/>
          <w:szCs w:val="30"/>
          <w:highlight w:val="none"/>
          <w:u w:val="none"/>
          <w:lang w:val="en-US" w:eastAsia="zh-CN" w:bidi="ar-SA"/>
        </w:rPr>
        <w:t>产学研深度融合、优势突出、特色鲜明、就业率高的</w:t>
      </w:r>
      <w:r>
        <w:rPr>
          <w:rFonts w:hint="eastAsia" w:ascii="仿宋" w:hAnsi="仿宋" w:eastAsia="仿宋" w:cs="仿宋"/>
          <w:b w:val="0"/>
          <w:bCs/>
          <w:color w:val="0000FF"/>
          <w:kern w:val="2"/>
          <w:sz w:val="30"/>
          <w:szCs w:val="30"/>
          <w:u w:val="none"/>
          <w:lang w:val="en-US" w:eastAsia="zh-CN" w:bidi="ar-SA"/>
        </w:rPr>
        <w:t>现代农业类、现代林业类、食品工程类、生物制药类、城乡服务类</w:t>
      </w:r>
      <w:r>
        <w:rPr>
          <w:rFonts w:hint="eastAsia" w:ascii="仿宋" w:hAnsi="仿宋" w:eastAsia="仿宋" w:cs="仿宋"/>
          <w:b w:val="0"/>
          <w:bCs/>
          <w:color w:val="000000" w:themeColor="text1"/>
          <w:kern w:val="2"/>
          <w:sz w:val="30"/>
          <w:szCs w:val="30"/>
          <w:highlight w:val="none"/>
          <w:u w:val="none"/>
          <w:lang w:val="en-US" w:eastAsia="zh-CN" w:bidi="ar-SA"/>
          <w14:textFill>
            <w14:solidFill>
              <w14:schemeClr w14:val="tx1"/>
            </w14:solidFill>
          </w14:textFill>
        </w:rPr>
        <w:t>等五大</w:t>
      </w:r>
      <w:r>
        <w:rPr>
          <w:rFonts w:hint="eastAsia" w:ascii="仿宋" w:hAnsi="仿宋" w:eastAsia="仿宋" w:cs="仿宋"/>
          <w:b w:val="0"/>
          <w:bCs/>
          <w:color w:val="0000FF"/>
          <w:kern w:val="2"/>
          <w:sz w:val="30"/>
          <w:szCs w:val="30"/>
          <w:u w:val="none"/>
          <w:lang w:val="en-US" w:eastAsia="zh-CN" w:bidi="ar-SA"/>
        </w:rPr>
        <w:t>专业群，提升学科专业建设与地方经济发展的契合度。</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20" w:lineRule="exact"/>
        <w:ind w:leftChars="200" w:right="0" w:rightChars="0"/>
        <w:jc w:val="both"/>
        <w:textAlignment w:val="auto"/>
        <w:outlineLvl w:val="2"/>
        <w:rPr>
          <w:rFonts w:hint="eastAsia" w:ascii="仿宋" w:hAnsi="仿宋" w:eastAsia="仿宋" w:cs="仿宋"/>
          <w:b w:val="0"/>
          <w:bCs/>
          <w:color w:val="000000" w:themeColor="text1"/>
          <w:kern w:val="2"/>
          <w:sz w:val="30"/>
          <w:szCs w:val="30"/>
          <w:u w:val="none"/>
          <w:lang w:val="en-US" w:eastAsia="zh-CN" w:bidi="ar-SA"/>
          <w14:textFill>
            <w14:solidFill>
              <w14:schemeClr w14:val="tx1"/>
            </w14:solidFill>
          </w14:textFill>
        </w:rPr>
      </w:pPr>
      <w:bookmarkStart w:id="69" w:name="_Toc16143"/>
      <w:r>
        <w:rPr>
          <w:rFonts w:hint="eastAsia" w:ascii="仿宋" w:hAnsi="仿宋" w:eastAsia="仿宋" w:cs="仿宋"/>
          <w:b/>
          <w:bCs w:val="0"/>
          <w:color w:val="FF0000"/>
          <w:kern w:val="2"/>
          <w:sz w:val="30"/>
          <w:szCs w:val="30"/>
          <w:u w:val="none"/>
          <w:lang w:val="en-US" w:eastAsia="zh-CN" w:bidi="ar-SA"/>
        </w:rPr>
        <w:t>3.聚焦“金专”建设，重点打造一批精品专业</w:t>
      </w:r>
      <w:bookmarkEnd w:id="69"/>
    </w:p>
    <w:p>
      <w:pPr>
        <w:keepNext w:val="0"/>
        <w:keepLines w:val="0"/>
        <w:pageBreakBefore w:val="0"/>
        <w:widowControl/>
        <w:kinsoku/>
        <w:wordWrap/>
        <w:overflowPunct/>
        <w:topLinePunct w:val="0"/>
        <w:autoSpaceDE/>
        <w:autoSpaceDN/>
        <w:bidi w:val="0"/>
        <w:adjustRightInd/>
        <w:snapToGrid/>
        <w:spacing w:line="520" w:lineRule="exact"/>
        <w:ind w:firstLine="600" w:firstLineChars="200"/>
        <w:textAlignment w:val="auto"/>
        <w:rPr>
          <w:rFonts w:hint="eastAsia" w:ascii="仿宋" w:hAnsi="仿宋" w:eastAsia="仿宋" w:cs="仿宋"/>
          <w:b w:val="0"/>
          <w:bCs/>
          <w:color w:val="000000" w:themeColor="text1"/>
          <w:kern w:val="2"/>
          <w:sz w:val="30"/>
          <w:szCs w:val="30"/>
          <w:u w:val="none"/>
          <w:lang w:val="en-US" w:eastAsia="zh-CN" w:bidi="ar-SA"/>
          <w14:textFill>
            <w14:solidFill>
              <w14:schemeClr w14:val="tx1"/>
            </w14:solidFill>
          </w14:textFill>
        </w:rPr>
      </w:pPr>
      <w:r>
        <w:rPr>
          <w:rFonts w:hint="eastAsia" w:ascii="仿宋" w:hAnsi="仿宋" w:eastAsia="仿宋" w:cs="仿宋"/>
          <w:b w:val="0"/>
          <w:bCs/>
          <w:color w:val="000000" w:themeColor="text1"/>
          <w:kern w:val="2"/>
          <w:sz w:val="30"/>
          <w:szCs w:val="30"/>
          <w:u w:val="none"/>
          <w:lang w:val="en-US" w:eastAsia="zh-CN" w:bidi="ar-SA"/>
          <w14:textFill>
            <w14:solidFill>
              <w14:schemeClr w14:val="tx1"/>
            </w14:solidFill>
          </w14:textFill>
        </w:rPr>
        <w:t>有序推进和强化动物医学、设施农业科学与工程、水族科学与技术、植物保护、林学、茶学等重点学科领域“新农科”专业点建设。集中有限资源，实施靶向突破，到“十四五”末建设15个左右在省内具有较强影响力的应用型校级特色示范专业，新建5个以上省级一流本科专业，力争国家级一流本科专业有所突破</w:t>
      </w:r>
      <w:r>
        <w:rPr>
          <w:rFonts w:hint="eastAsia" w:ascii="仿宋" w:hAnsi="仿宋" w:eastAsia="仿宋" w:cs="仿宋"/>
          <w:b w:val="0"/>
          <w:bCs/>
          <w:color w:val="000000" w:themeColor="text1"/>
          <w:kern w:val="2"/>
          <w:sz w:val="30"/>
          <w:szCs w:val="30"/>
          <w:u w:val="none"/>
          <w:lang w:eastAsia="zh-CN" w:bidi="ar-SA"/>
          <w14:textFill>
            <w14:solidFill>
              <w14:schemeClr w14:val="tx1"/>
            </w14:solidFill>
          </w14:textFill>
        </w:rPr>
        <w:t>，着力打造若干“金专”品牌</w:t>
      </w:r>
      <w:r>
        <w:rPr>
          <w:rFonts w:hint="eastAsia" w:ascii="仿宋" w:hAnsi="仿宋" w:eastAsia="仿宋" w:cs="仿宋"/>
          <w:b w:val="0"/>
          <w:bCs/>
          <w:color w:val="000000" w:themeColor="text1"/>
          <w:kern w:val="2"/>
          <w:sz w:val="30"/>
          <w:szCs w:val="30"/>
          <w:u w:val="none"/>
          <w:lang w:val="en-US" w:eastAsia="zh-CN" w:bidi="ar-SA"/>
          <w14:textFill>
            <w14:solidFill>
              <w14:schemeClr w14:val="tx1"/>
            </w14:solidFill>
          </w14:textFill>
        </w:rPr>
        <w:t>。</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20" w:lineRule="exact"/>
        <w:ind w:left="0" w:leftChars="0" w:right="0" w:firstLine="602" w:firstLineChars="200"/>
        <w:jc w:val="both"/>
        <w:textAlignment w:val="auto"/>
        <w:outlineLvl w:val="2"/>
        <w:rPr>
          <w:rFonts w:hint="eastAsia" w:ascii="仿宋" w:hAnsi="仿宋" w:eastAsia="仿宋" w:cs="仿宋"/>
          <w:b/>
          <w:bCs w:val="0"/>
          <w:color w:val="000000" w:themeColor="text1"/>
          <w:kern w:val="2"/>
          <w:sz w:val="30"/>
          <w:szCs w:val="30"/>
          <w:u w:val="none"/>
          <w:lang w:val="en-US" w:eastAsia="zh-CN" w:bidi="ar-SA"/>
          <w14:textFill>
            <w14:solidFill>
              <w14:schemeClr w14:val="tx1"/>
            </w14:solidFill>
          </w14:textFill>
        </w:rPr>
      </w:pPr>
      <w:bookmarkStart w:id="70" w:name="_Toc20108"/>
      <w:r>
        <w:rPr>
          <w:rFonts w:hint="eastAsia" w:ascii="仿宋" w:hAnsi="仿宋" w:eastAsia="仿宋" w:cs="仿宋"/>
          <w:b/>
          <w:bCs w:val="0"/>
          <w:color w:val="000000" w:themeColor="text1"/>
          <w:kern w:val="2"/>
          <w:sz w:val="30"/>
          <w:szCs w:val="30"/>
          <w:u w:val="none"/>
          <w:lang w:val="en-US" w:eastAsia="zh-CN" w:bidi="ar-SA"/>
          <w14:textFill>
            <w14:solidFill>
              <w14:schemeClr w14:val="tx1"/>
            </w14:solidFill>
          </w14:textFill>
        </w:rPr>
        <w:t>4.推进学科交融，夯实应用型学科专业基础</w:t>
      </w:r>
      <w:bookmarkEnd w:id="70"/>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20" w:lineRule="exact"/>
        <w:ind w:left="0" w:leftChars="0" w:right="0" w:firstLine="600" w:firstLineChars="200"/>
        <w:jc w:val="both"/>
        <w:textAlignment w:val="auto"/>
        <w:rPr>
          <w:rFonts w:hint="eastAsia" w:ascii="仿宋" w:hAnsi="仿宋" w:eastAsia="仿宋" w:cs="仿宋"/>
          <w:b w:val="0"/>
          <w:bCs/>
          <w:color w:val="000000" w:themeColor="text1"/>
          <w:kern w:val="2"/>
          <w:sz w:val="30"/>
          <w:szCs w:val="30"/>
          <w:u w:val="none"/>
          <w:lang w:val="en-US" w:eastAsia="zh-CN" w:bidi="ar-SA"/>
          <w14:textFill>
            <w14:solidFill>
              <w14:schemeClr w14:val="tx1"/>
            </w14:solidFill>
          </w14:textFill>
        </w:rPr>
      </w:pPr>
      <w:r>
        <w:rPr>
          <w:rFonts w:hint="eastAsia" w:ascii="仿宋" w:hAnsi="仿宋" w:eastAsia="仿宋" w:cs="仿宋"/>
          <w:b w:val="0"/>
          <w:bCs/>
          <w:color w:val="000000" w:themeColor="text1"/>
          <w:kern w:val="2"/>
          <w:sz w:val="30"/>
          <w:szCs w:val="30"/>
          <w:u w:val="none"/>
          <w:lang w:val="en-US" w:eastAsia="zh-CN" w:bidi="ar-SA"/>
          <w14:textFill>
            <w14:solidFill>
              <w14:schemeClr w14:val="tx1"/>
            </w14:solidFill>
          </w14:textFill>
        </w:rPr>
        <w:t xml:space="preserve">在巩固已有优势学科的基础上，主动适应新技术、新产业、新业态、新模式对人才的新要求，积极培育和增设新型、边缘和交叉学科专业，逐步扩展学科领域，处理好综合发展与特色发展的关系，避免追求“大而全”。在注重应用学科发展的同时，适应技术革新趋势，推动学科交叉融合，促进理工结合、工工交叉、工文渗透；加强基础学科和以新文科为主导的人文社会科学学科建设力度，积极落实国家关于“新文科建设宣言”精神，提高人文社科学科建设水平。通过夯实基础、促进学科交融等措施，加快改造传统基础学科专业，为促进优势特色应用型学科长远发展提供坚实保障。  </w:t>
      </w:r>
    </w:p>
    <w:p>
      <w:pPr>
        <w:keepNext w:val="0"/>
        <w:keepLines w:val="0"/>
        <w:pageBreakBefore w:val="0"/>
        <w:numPr>
          <w:ilvl w:val="0"/>
          <w:numId w:val="0"/>
        </w:numPr>
        <w:kinsoku/>
        <w:wordWrap/>
        <w:overflowPunct/>
        <w:topLinePunct w:val="0"/>
        <w:autoSpaceDE/>
        <w:autoSpaceDN/>
        <w:bidi w:val="0"/>
        <w:adjustRightInd/>
        <w:snapToGrid/>
        <w:spacing w:line="520" w:lineRule="exact"/>
        <w:ind w:left="0" w:leftChars="0" w:firstLine="602" w:firstLineChars="200"/>
        <w:jc w:val="both"/>
        <w:textAlignment w:val="auto"/>
        <w:outlineLvl w:val="2"/>
        <w:rPr>
          <w:rFonts w:hint="eastAsia" w:ascii="仿宋" w:hAnsi="仿宋" w:eastAsia="仿宋" w:cs="仿宋"/>
          <w:b/>
          <w:bCs/>
          <w:color w:val="000000" w:themeColor="text1"/>
          <w:kern w:val="2"/>
          <w:sz w:val="30"/>
          <w:szCs w:val="30"/>
          <w:u w:val="none"/>
          <w:lang w:val="en-US" w:eastAsia="zh-CN" w:bidi="zh-CN"/>
          <w14:textFill>
            <w14:solidFill>
              <w14:schemeClr w14:val="tx1"/>
            </w14:solidFill>
          </w14:textFill>
        </w:rPr>
      </w:pPr>
      <w:bookmarkStart w:id="120" w:name="_GoBack"/>
      <w:bookmarkEnd w:id="120"/>
      <w:bookmarkStart w:id="71" w:name="_Toc19960"/>
      <w:r>
        <w:rPr>
          <w:rFonts w:hint="eastAsia" w:ascii="仿宋" w:hAnsi="仿宋" w:eastAsia="仿宋" w:cs="仿宋"/>
          <w:b/>
          <w:bCs/>
          <w:color w:val="000000" w:themeColor="text1"/>
          <w:kern w:val="2"/>
          <w:sz w:val="30"/>
          <w:szCs w:val="30"/>
          <w:u w:val="none"/>
          <w:lang w:val="en-US" w:eastAsia="zh-CN" w:bidi="zh-CN"/>
          <w14:textFill>
            <w14:solidFill>
              <w14:schemeClr w14:val="tx1"/>
            </w14:solidFill>
          </w14:textFill>
        </w:rPr>
        <w:t>5.提升专业层次，择机启动硕士学位授予单位立项建设</w:t>
      </w:r>
      <w:bookmarkEnd w:id="71"/>
    </w:p>
    <w:p>
      <w:pPr>
        <w:keepNext w:val="0"/>
        <w:keepLines w:val="0"/>
        <w:pageBreakBefore w:val="0"/>
        <w:numPr>
          <w:ilvl w:val="0"/>
          <w:numId w:val="0"/>
        </w:numPr>
        <w:kinsoku/>
        <w:wordWrap/>
        <w:overflowPunct/>
        <w:topLinePunct w:val="0"/>
        <w:autoSpaceDE/>
        <w:autoSpaceDN/>
        <w:bidi w:val="0"/>
        <w:adjustRightInd/>
        <w:snapToGrid/>
        <w:spacing w:line="520" w:lineRule="exact"/>
        <w:ind w:left="0" w:leftChars="0" w:firstLine="600" w:firstLineChars="200"/>
        <w:jc w:val="both"/>
        <w:textAlignment w:val="auto"/>
        <w:rPr>
          <w:rFonts w:hint="eastAsia" w:ascii="仿宋" w:hAnsi="仿宋" w:eastAsia="仿宋" w:cs="仿宋"/>
          <w:b w:val="0"/>
          <w:bCs/>
          <w:color w:val="000000" w:themeColor="text1"/>
          <w:kern w:val="2"/>
          <w:sz w:val="30"/>
          <w:szCs w:val="30"/>
          <w:u w:val="none"/>
          <w:lang w:val="en-US" w:eastAsia="zh-CN" w:bidi="ar-SA"/>
          <w14:textFill>
            <w14:solidFill>
              <w14:schemeClr w14:val="tx1"/>
            </w14:solidFill>
          </w14:textFill>
        </w:rPr>
      </w:pPr>
      <w:r>
        <w:rPr>
          <w:rFonts w:hint="eastAsia" w:ascii="仿宋" w:hAnsi="仿宋" w:eastAsia="仿宋" w:cs="仿宋"/>
          <w:b w:val="0"/>
          <w:bCs/>
          <w:color w:val="000000" w:themeColor="text1"/>
          <w:kern w:val="2"/>
          <w:sz w:val="30"/>
          <w:szCs w:val="30"/>
          <w:u w:val="none"/>
          <w:lang w:val="en-US" w:eastAsia="zh-CN" w:bidi="ar-SA"/>
          <w14:textFill>
            <w14:solidFill>
              <w14:schemeClr w14:val="tx1"/>
            </w14:solidFill>
          </w14:textFill>
        </w:rPr>
        <w:t>在顺利通过本科教学合格评估的基础上，根据硕士研究生授予单位申报相关政策，</w:t>
      </w:r>
      <w:r>
        <w:rPr>
          <w:rFonts w:hint="eastAsia" w:ascii="仿宋" w:hAnsi="仿宋" w:eastAsia="仿宋" w:cs="仿宋"/>
          <w:b w:val="0"/>
          <w:bCs/>
          <w:color w:val="000000" w:themeColor="text1"/>
          <w:kern w:val="2"/>
          <w:sz w:val="30"/>
          <w:szCs w:val="30"/>
          <w:highlight w:val="none"/>
          <w:u w:val="none"/>
          <w:lang w:val="en-US" w:eastAsia="zh-CN" w:bidi="ar-SA"/>
          <w14:textFill>
            <w14:solidFill>
              <w14:schemeClr w14:val="tx1"/>
            </w14:solidFill>
          </w14:textFill>
        </w:rPr>
        <w:t>制订</w:t>
      </w:r>
      <w:r>
        <w:rPr>
          <w:rFonts w:hint="eastAsia" w:ascii="仿宋" w:hAnsi="仿宋" w:eastAsia="仿宋" w:cs="仿宋"/>
          <w:b w:val="0"/>
          <w:bCs/>
          <w:color w:val="000000" w:themeColor="text1"/>
          <w:kern w:val="2"/>
          <w:sz w:val="30"/>
          <w:szCs w:val="30"/>
          <w:u w:val="none"/>
          <w:lang w:val="en-US" w:eastAsia="zh-CN" w:bidi="ar-SA"/>
          <w14:textFill>
            <w14:solidFill>
              <w14:schemeClr w14:val="tx1"/>
            </w14:solidFill>
          </w14:textFill>
        </w:rPr>
        <w:t>相关建设规划，做好学校优势特色学科专业硕士学位点立项建设，认真组织，加大投入，强化落实，切实做好导师队伍、学科梯队、人才培养、物质条件、项目管理等方面的建设工作，</w:t>
      </w:r>
      <w:r>
        <w:rPr>
          <w:rFonts w:hint="eastAsia" w:ascii="仿宋" w:hAnsi="仿宋" w:eastAsia="仿宋" w:cs="仿宋"/>
          <w:b w:val="0"/>
          <w:bCs/>
          <w:color w:val="auto"/>
          <w:kern w:val="2"/>
          <w:sz w:val="30"/>
          <w:szCs w:val="30"/>
          <w:u w:val="none"/>
          <w:lang w:val="en-US" w:eastAsia="zh-CN" w:bidi="ar-SA"/>
        </w:rPr>
        <w:t>力争</w:t>
      </w:r>
      <w:r>
        <w:rPr>
          <w:rFonts w:hint="eastAsia" w:ascii="仿宋" w:hAnsi="仿宋" w:eastAsia="仿宋" w:cs="仿宋"/>
          <w:b w:val="0"/>
          <w:bCs/>
          <w:color w:val="000000" w:themeColor="text1"/>
          <w:kern w:val="2"/>
          <w:sz w:val="30"/>
          <w:szCs w:val="30"/>
          <w:u w:val="none"/>
          <w:lang w:val="en-US" w:eastAsia="zh-CN" w:bidi="ar-SA"/>
          <w14:textFill>
            <w14:solidFill>
              <w14:schemeClr w14:val="tx1"/>
            </w14:solidFill>
          </w14:textFill>
        </w:rPr>
        <w:t>取得实质性突破。</w:t>
      </w:r>
    </w:p>
    <w:p>
      <w:pPr>
        <w:pStyle w:val="16"/>
        <w:keepNext w:val="0"/>
        <w:keepLines w:val="0"/>
        <w:pageBreakBefore w:val="0"/>
        <w:numPr>
          <w:ilvl w:val="0"/>
          <w:numId w:val="0"/>
        </w:numPr>
        <w:tabs>
          <w:tab w:val="left" w:pos="1239"/>
        </w:tabs>
        <w:kinsoku/>
        <w:wordWrap/>
        <w:overflowPunct/>
        <w:topLinePunct w:val="0"/>
        <w:autoSpaceDE/>
        <w:autoSpaceDN/>
        <w:bidi w:val="0"/>
        <w:adjustRightInd/>
        <w:snapToGrid/>
        <w:spacing w:before="0" w:beforeAutospacing="0" w:afterAutospacing="0" w:line="520" w:lineRule="exact"/>
        <w:ind w:right="0" w:rightChars="0" w:firstLine="301" w:firstLineChars="100"/>
        <w:jc w:val="both"/>
        <w:textAlignment w:val="auto"/>
        <w:outlineLvl w:val="1"/>
        <w:rPr>
          <w:rFonts w:hint="eastAsia" w:ascii="仿宋" w:hAnsi="仿宋" w:eastAsia="仿宋" w:cs="仿宋"/>
          <w:b/>
          <w:color w:val="FF0000"/>
          <w:sz w:val="30"/>
          <w:szCs w:val="30"/>
          <w:u w:val="none"/>
          <w:lang w:eastAsia="zh-CN"/>
        </w:rPr>
      </w:pPr>
      <w:bookmarkStart w:id="72" w:name="_Toc14652"/>
      <w:r>
        <w:rPr>
          <w:rFonts w:hint="eastAsia" w:ascii="仿宋" w:hAnsi="仿宋" w:eastAsia="仿宋" w:cs="仿宋"/>
          <w:b/>
          <w:color w:val="000000" w:themeColor="text1"/>
          <w:sz w:val="30"/>
          <w:szCs w:val="30"/>
          <w:u w:val="none"/>
          <w:lang w:eastAsia="zh-CN"/>
          <w14:textFill>
            <w14:solidFill>
              <w14:schemeClr w14:val="tx1"/>
            </w14:solidFill>
          </w14:textFill>
        </w:rPr>
        <w:t>（四）</w:t>
      </w:r>
      <w:r>
        <w:rPr>
          <w:rFonts w:hint="eastAsia" w:cs="仿宋"/>
          <w:b/>
          <w:color w:val="FF0000"/>
          <w:sz w:val="30"/>
          <w:szCs w:val="30"/>
          <w:u w:val="none"/>
          <w:lang w:eastAsia="zh-CN"/>
        </w:rPr>
        <w:t>以</w:t>
      </w:r>
      <w:r>
        <w:rPr>
          <w:rFonts w:hint="eastAsia" w:ascii="仿宋" w:hAnsi="仿宋" w:eastAsia="仿宋" w:cs="仿宋"/>
          <w:b/>
          <w:color w:val="FF0000"/>
          <w:sz w:val="30"/>
          <w:szCs w:val="30"/>
          <w:u w:val="none"/>
        </w:rPr>
        <w:t>深化</w:t>
      </w:r>
      <w:r>
        <w:rPr>
          <w:rFonts w:hint="eastAsia" w:cs="仿宋"/>
          <w:b/>
          <w:color w:val="FF0000"/>
          <w:sz w:val="30"/>
          <w:szCs w:val="30"/>
          <w:u w:val="none"/>
          <w:lang w:eastAsia="zh-CN"/>
        </w:rPr>
        <w:t>教学</w:t>
      </w:r>
      <w:r>
        <w:rPr>
          <w:rFonts w:hint="eastAsia" w:ascii="仿宋" w:hAnsi="仿宋" w:eastAsia="仿宋" w:cs="仿宋"/>
          <w:b/>
          <w:color w:val="FF0000"/>
          <w:sz w:val="30"/>
          <w:szCs w:val="30"/>
          <w:u w:val="none"/>
        </w:rPr>
        <w:t>改革</w:t>
      </w:r>
      <w:r>
        <w:rPr>
          <w:rFonts w:hint="eastAsia" w:cs="仿宋"/>
          <w:b/>
          <w:color w:val="FF0000"/>
          <w:sz w:val="30"/>
          <w:szCs w:val="30"/>
          <w:u w:val="none"/>
          <w:lang w:eastAsia="zh-CN"/>
        </w:rPr>
        <w:t>为重点，</w:t>
      </w:r>
      <w:r>
        <w:rPr>
          <w:rFonts w:hint="eastAsia" w:ascii="仿宋" w:hAnsi="仿宋" w:eastAsia="仿宋" w:cs="仿宋"/>
          <w:b/>
          <w:color w:val="FF0000"/>
          <w:sz w:val="30"/>
          <w:szCs w:val="30"/>
          <w:u w:val="none"/>
          <w:lang w:eastAsia="zh-CN"/>
        </w:rPr>
        <w:t>提</w:t>
      </w:r>
      <w:r>
        <w:rPr>
          <w:rFonts w:hint="eastAsia" w:cs="仿宋"/>
          <w:b/>
          <w:color w:val="FF0000"/>
          <w:sz w:val="30"/>
          <w:szCs w:val="30"/>
          <w:u w:val="none"/>
          <w:lang w:eastAsia="zh-CN"/>
        </w:rPr>
        <w:t>升</w:t>
      </w:r>
      <w:r>
        <w:rPr>
          <w:rFonts w:hint="eastAsia" w:ascii="仿宋" w:hAnsi="仿宋" w:eastAsia="仿宋" w:cs="仿宋"/>
          <w:b/>
          <w:color w:val="FF0000"/>
          <w:sz w:val="30"/>
          <w:szCs w:val="30"/>
          <w:u w:val="none"/>
          <w:lang w:eastAsia="zh-CN"/>
        </w:rPr>
        <w:t>人才培养质量</w:t>
      </w:r>
      <w:r>
        <w:rPr>
          <w:rFonts w:hint="eastAsia" w:cs="仿宋"/>
          <w:b/>
          <w:color w:val="FF0000"/>
          <w:sz w:val="30"/>
          <w:szCs w:val="30"/>
          <w:u w:val="none"/>
          <w:lang w:eastAsia="zh-CN"/>
        </w:rPr>
        <w:t>新高度</w:t>
      </w:r>
      <w:bookmarkEnd w:id="72"/>
    </w:p>
    <w:p>
      <w:pPr>
        <w:pStyle w:val="16"/>
        <w:keepNext w:val="0"/>
        <w:keepLines w:val="0"/>
        <w:pageBreakBefore w:val="0"/>
        <w:numPr>
          <w:ilvl w:val="0"/>
          <w:numId w:val="0"/>
        </w:numPr>
        <w:tabs>
          <w:tab w:val="left" w:pos="1239"/>
        </w:tabs>
        <w:kinsoku/>
        <w:wordWrap/>
        <w:overflowPunct/>
        <w:topLinePunct w:val="0"/>
        <w:autoSpaceDE/>
        <w:autoSpaceDN/>
        <w:bidi w:val="0"/>
        <w:adjustRightInd/>
        <w:snapToGrid/>
        <w:spacing w:before="0" w:beforeAutospacing="0" w:afterAutospacing="0" w:line="520" w:lineRule="exact"/>
        <w:ind w:left="0" w:leftChars="0" w:right="0" w:rightChars="0" w:firstLine="301" w:firstLineChars="100"/>
        <w:jc w:val="both"/>
        <w:textAlignment w:val="auto"/>
        <w:outlineLvl w:val="2"/>
        <w:rPr>
          <w:rFonts w:hint="eastAsia" w:ascii="仿宋" w:hAnsi="仿宋" w:eastAsia="仿宋" w:cs="仿宋"/>
          <w:b/>
          <w:color w:val="000000" w:themeColor="text1"/>
          <w:sz w:val="30"/>
          <w:szCs w:val="30"/>
          <w:u w:val="none"/>
          <w:lang w:val="en-US" w:eastAsia="zh-CN"/>
          <w14:textFill>
            <w14:solidFill>
              <w14:schemeClr w14:val="tx1"/>
            </w14:solidFill>
          </w14:textFill>
        </w:rPr>
      </w:pPr>
      <w:r>
        <w:rPr>
          <w:rFonts w:hint="eastAsia" w:ascii="仿宋" w:hAnsi="仿宋" w:eastAsia="仿宋" w:cs="仿宋"/>
          <w:b/>
          <w:color w:val="000000" w:themeColor="text1"/>
          <w:sz w:val="30"/>
          <w:szCs w:val="30"/>
          <w:u w:val="none"/>
          <w:lang w:val="en-US" w:eastAsia="zh-CN"/>
          <w14:textFill>
            <w14:solidFill>
              <w14:schemeClr w14:val="tx1"/>
            </w14:solidFill>
          </w14:textFill>
        </w:rPr>
        <w:t xml:space="preserve">  </w:t>
      </w:r>
      <w:bookmarkStart w:id="73" w:name="_Toc8523"/>
      <w:r>
        <w:rPr>
          <w:rFonts w:hint="eastAsia" w:ascii="仿宋" w:hAnsi="仿宋" w:eastAsia="仿宋" w:cs="仿宋"/>
          <w:b/>
          <w:color w:val="000000" w:themeColor="text1"/>
          <w:sz w:val="30"/>
          <w:szCs w:val="30"/>
          <w:u w:val="none"/>
          <w:lang w:val="en-US" w:eastAsia="zh-CN"/>
          <w14:textFill>
            <w14:solidFill>
              <w14:schemeClr w14:val="tx1"/>
            </w14:solidFill>
          </w14:textFill>
        </w:rPr>
        <w:t>1.推进人才培养模式改革，</w:t>
      </w:r>
      <w:r>
        <w:rPr>
          <w:rFonts w:hint="eastAsia" w:cs="仿宋"/>
          <w:b/>
          <w:color w:val="FF0000"/>
          <w:sz w:val="30"/>
          <w:szCs w:val="30"/>
          <w:u w:val="none"/>
          <w:lang w:val="en-US" w:eastAsia="zh-CN"/>
        </w:rPr>
        <w:t>提升</w:t>
      </w:r>
      <w:r>
        <w:rPr>
          <w:rFonts w:hint="eastAsia" w:ascii="仿宋" w:hAnsi="仿宋" w:eastAsia="仿宋" w:cs="仿宋"/>
          <w:b/>
          <w:color w:val="FF0000"/>
          <w:sz w:val="30"/>
          <w:szCs w:val="30"/>
          <w:u w:val="none"/>
          <w:lang w:val="en-US" w:eastAsia="zh-CN"/>
        </w:rPr>
        <w:t>应用型</w:t>
      </w:r>
      <w:r>
        <w:rPr>
          <w:rFonts w:hint="eastAsia" w:cs="仿宋"/>
          <w:b/>
          <w:color w:val="FF0000"/>
          <w:sz w:val="30"/>
          <w:szCs w:val="30"/>
          <w:u w:val="none"/>
          <w:lang w:val="en-US" w:eastAsia="zh-CN"/>
        </w:rPr>
        <w:t>本科</w:t>
      </w:r>
      <w:r>
        <w:rPr>
          <w:rFonts w:hint="eastAsia" w:ascii="仿宋" w:hAnsi="仿宋" w:eastAsia="仿宋" w:cs="仿宋"/>
          <w:b/>
          <w:color w:val="FF0000"/>
          <w:sz w:val="30"/>
          <w:szCs w:val="30"/>
          <w:u w:val="none"/>
          <w:lang w:val="en-US" w:eastAsia="zh-CN"/>
        </w:rPr>
        <w:t>人才</w:t>
      </w:r>
      <w:r>
        <w:rPr>
          <w:rFonts w:hint="eastAsia" w:cs="仿宋"/>
          <w:b/>
          <w:color w:val="FF0000"/>
          <w:sz w:val="30"/>
          <w:szCs w:val="30"/>
          <w:u w:val="none"/>
          <w:lang w:val="en-US" w:eastAsia="zh-CN"/>
        </w:rPr>
        <w:t>培养达成度</w:t>
      </w:r>
      <w:bookmarkEnd w:id="73"/>
    </w:p>
    <w:p>
      <w:pPr>
        <w:keepNext w:val="0"/>
        <w:keepLines w:val="0"/>
        <w:pageBreakBefore w:val="0"/>
        <w:widowControl/>
        <w:suppressLineNumbers w:val="0"/>
        <w:kinsoku/>
        <w:wordWrap/>
        <w:overflowPunct/>
        <w:topLinePunct w:val="0"/>
        <w:autoSpaceDE/>
        <w:autoSpaceDN/>
        <w:bidi w:val="0"/>
        <w:adjustRightInd/>
        <w:snapToGrid/>
        <w:spacing w:line="520" w:lineRule="exact"/>
        <w:ind w:left="0" w:leftChars="0"/>
        <w:jc w:val="left"/>
        <w:textAlignment w:val="auto"/>
        <w:rPr>
          <w:rFonts w:hint="eastAsia" w:ascii="仿宋" w:hAnsi="仿宋" w:eastAsia="仿宋" w:cs="仿宋"/>
          <w:b/>
          <w:color w:val="000000" w:themeColor="text1"/>
          <w:sz w:val="30"/>
          <w:szCs w:val="30"/>
          <w:u w:val="none"/>
          <w:lang w:val="en-US" w:eastAsia="zh-CN"/>
          <w14:textFill>
            <w14:solidFill>
              <w14:schemeClr w14:val="tx1"/>
            </w14:solidFill>
          </w14:textFill>
        </w:rPr>
      </w:pPr>
      <w:r>
        <w:rPr>
          <w:rFonts w:hint="eastAsia" w:ascii="仿宋" w:hAnsi="仿宋" w:eastAsia="仿宋" w:cs="仿宋"/>
          <w:b/>
          <w:color w:val="000000" w:themeColor="text1"/>
          <w:sz w:val="30"/>
          <w:szCs w:val="30"/>
          <w:u w:val="none"/>
          <w:lang w:val="en-US" w:eastAsia="zh-CN"/>
          <w14:textFill>
            <w14:solidFill>
              <w14:schemeClr w14:val="tx1"/>
            </w14:solidFill>
          </w14:textFill>
        </w:rPr>
        <w:t xml:space="preserve">   </w:t>
      </w:r>
      <w:r>
        <w:rPr>
          <w:rFonts w:hint="eastAsia" w:ascii="仿宋" w:hAnsi="仿宋" w:eastAsia="仿宋" w:cs="仿宋"/>
          <w:b w:val="0"/>
          <w:bCs/>
          <w:color w:val="auto"/>
          <w:kern w:val="2"/>
          <w:sz w:val="30"/>
          <w:szCs w:val="30"/>
          <w:u w:val="none"/>
          <w:lang w:val="en-US" w:eastAsia="zh-CN" w:bidi="ar-SA"/>
        </w:rPr>
        <w:t>以培养高素质应用型技术技能型人才为目标，</w:t>
      </w:r>
      <w:r>
        <w:rPr>
          <w:rFonts w:hint="eastAsia" w:ascii="仿宋" w:hAnsi="仿宋" w:eastAsia="仿宋" w:cs="仿宋"/>
          <w:b w:val="0"/>
          <w:bCs/>
          <w:color w:val="FF0000"/>
          <w:kern w:val="2"/>
          <w:sz w:val="30"/>
          <w:szCs w:val="30"/>
          <w:u w:val="none"/>
          <w:lang w:val="en-US" w:eastAsia="zh-CN" w:bidi="ar-SA"/>
        </w:rPr>
        <w:t>积极践行</w:t>
      </w:r>
      <w:r>
        <w:rPr>
          <w:rFonts w:hint="eastAsia" w:ascii="仿宋" w:hAnsi="仿宋" w:eastAsia="仿宋" w:cs="仿宋"/>
          <w:b w:val="0"/>
          <w:bCs w:val="0"/>
          <w:color w:val="FF0000"/>
          <w:sz w:val="30"/>
          <w:szCs w:val="30"/>
          <w:u w:val="none"/>
          <w:lang w:val="en-US" w:eastAsia="zh-CN"/>
        </w:rPr>
        <w:t>“学生中心、产出导向、持续改进”的</w:t>
      </w:r>
      <w:r>
        <w:rPr>
          <w:rFonts w:hint="eastAsia" w:ascii="仿宋" w:hAnsi="仿宋" w:eastAsia="仿宋" w:cs="仿宋"/>
          <w:b w:val="0"/>
          <w:bCs/>
          <w:color w:val="FF0000"/>
          <w:kern w:val="2"/>
          <w:sz w:val="30"/>
          <w:szCs w:val="30"/>
          <w:u w:val="none"/>
          <w:lang w:val="en-US" w:eastAsia="zh-CN" w:bidi="ar-SA"/>
        </w:rPr>
        <w:t>OBE</w:t>
      </w:r>
      <w:r>
        <w:rPr>
          <w:rFonts w:hint="eastAsia" w:ascii="仿宋" w:hAnsi="仿宋" w:eastAsia="仿宋" w:cs="仿宋"/>
          <w:b w:val="0"/>
          <w:bCs w:val="0"/>
          <w:color w:val="FF0000"/>
          <w:sz w:val="30"/>
          <w:szCs w:val="30"/>
          <w:u w:val="none"/>
          <w:lang w:val="en-US" w:eastAsia="zh-CN"/>
        </w:rPr>
        <w:t>育人理念，推进应用型人才培养</w:t>
      </w:r>
      <w:r>
        <w:rPr>
          <w:rFonts w:hint="eastAsia" w:ascii="仿宋" w:hAnsi="仿宋" w:eastAsia="仿宋" w:cs="仿宋"/>
          <w:b w:val="0"/>
          <w:bCs/>
          <w:color w:val="auto"/>
          <w:kern w:val="2"/>
          <w:sz w:val="30"/>
          <w:szCs w:val="30"/>
          <w:u w:val="none"/>
          <w:lang w:val="en-US" w:eastAsia="zh-CN" w:bidi="ar-SA"/>
        </w:rPr>
        <w:t>模式改革,完善个性化成长、产学研合作育人机制、国内国外合作培养机制，</w:t>
      </w:r>
      <w:r>
        <w:rPr>
          <w:rFonts w:hint="eastAsia" w:ascii="仿宋" w:hAnsi="仿宋" w:eastAsia="仿宋" w:cs="仿宋"/>
          <w:color w:val="000000" w:themeColor="text1"/>
          <w:kern w:val="0"/>
          <w:sz w:val="30"/>
          <w:szCs w:val="30"/>
          <w:u w:val="none"/>
          <w:lang w:val="en-US" w:eastAsia="zh-CN" w:bidi="ar"/>
          <w14:textFill>
            <w14:solidFill>
              <w14:schemeClr w14:val="tx1"/>
            </w14:solidFill>
          </w14:textFill>
        </w:rPr>
        <w:t>推动人才培养向职业标准靠拢，提升应用型人才培养目标的达成度。</w:t>
      </w:r>
      <w:r>
        <w:rPr>
          <w:rFonts w:hint="eastAsia" w:ascii="仿宋" w:hAnsi="仿宋" w:eastAsia="仿宋" w:cs="仿宋"/>
          <w:b w:val="0"/>
          <w:bCs/>
          <w:color w:val="000000" w:themeColor="text1"/>
          <w:kern w:val="2"/>
          <w:sz w:val="30"/>
          <w:szCs w:val="30"/>
          <w:u w:val="none"/>
          <w:lang w:val="en-US" w:eastAsia="zh-CN" w:bidi="ar-SA"/>
          <w14:textFill>
            <w14:solidFill>
              <w14:schemeClr w14:val="tx1"/>
            </w14:solidFill>
          </w14:textFill>
        </w:rPr>
        <w:t>以推进新农科建设为重点，建立跨学院、跨学科、跨专业交叉培养人才的新机制。</w:t>
      </w:r>
      <w:r>
        <w:rPr>
          <w:rFonts w:hint="eastAsia" w:ascii="仿宋" w:hAnsi="仿宋" w:eastAsia="仿宋" w:cs="仿宋"/>
          <w:color w:val="000000" w:themeColor="text1"/>
          <w:sz w:val="30"/>
          <w:szCs w:val="30"/>
          <w:u w:val="none"/>
          <w14:textFill>
            <w14:solidFill>
              <w14:schemeClr w14:val="tx1"/>
            </w14:solidFill>
          </w14:textFill>
        </w:rPr>
        <w:t>坚持产教融合、校企（校）合作、工学结合、知行合一，强化学生技能训练，着力提升职业能力，建立</w:t>
      </w:r>
      <w:r>
        <w:rPr>
          <w:rFonts w:hint="eastAsia" w:ascii="仿宋" w:hAnsi="仿宋" w:eastAsia="仿宋" w:cs="仿宋"/>
          <w:color w:val="000000" w:themeColor="text1"/>
          <w:sz w:val="30"/>
          <w:szCs w:val="30"/>
          <w:u w:val="none"/>
          <w:lang w:eastAsia="zh-CN"/>
          <w14:textFill>
            <w14:solidFill>
              <w14:schemeClr w14:val="tx1"/>
            </w14:solidFill>
          </w14:textFill>
        </w:rPr>
        <w:t>和</w:t>
      </w:r>
      <w:r>
        <w:rPr>
          <w:rFonts w:hint="eastAsia" w:ascii="仿宋" w:hAnsi="仿宋" w:eastAsia="仿宋" w:cs="仿宋"/>
          <w:color w:val="000000" w:themeColor="text1"/>
          <w:sz w:val="30"/>
          <w:szCs w:val="30"/>
          <w:u w:val="none"/>
          <w14:textFill>
            <w14:solidFill>
              <w14:schemeClr w14:val="tx1"/>
            </w14:solidFill>
          </w14:textFill>
        </w:rPr>
        <w:t>完善具有</w:t>
      </w:r>
      <w:r>
        <w:rPr>
          <w:rFonts w:hint="eastAsia" w:ascii="仿宋" w:hAnsi="仿宋" w:eastAsia="仿宋" w:cs="仿宋"/>
          <w:color w:val="000000" w:themeColor="text1"/>
          <w:sz w:val="30"/>
          <w:szCs w:val="30"/>
          <w:u w:val="none"/>
          <w:lang w:eastAsia="zh-CN"/>
          <w14:textFill>
            <w14:solidFill>
              <w14:schemeClr w14:val="tx1"/>
            </w14:solidFill>
          </w14:textFill>
        </w:rPr>
        <w:t>校本</w:t>
      </w:r>
      <w:r>
        <w:rPr>
          <w:rFonts w:hint="eastAsia" w:ascii="仿宋" w:hAnsi="仿宋" w:eastAsia="仿宋" w:cs="仿宋"/>
          <w:color w:val="000000" w:themeColor="text1"/>
          <w:sz w:val="30"/>
          <w:szCs w:val="30"/>
          <w:u w:val="none"/>
          <w14:textFill>
            <w14:solidFill>
              <w14:schemeClr w14:val="tx1"/>
            </w14:solidFill>
          </w14:textFill>
        </w:rPr>
        <w:t>特色、专业技能与</w:t>
      </w:r>
      <w:r>
        <w:rPr>
          <w:rFonts w:hint="eastAsia" w:ascii="仿宋" w:hAnsi="仿宋" w:eastAsia="仿宋" w:cs="仿宋"/>
          <w:color w:val="000000" w:themeColor="text1"/>
          <w:sz w:val="30"/>
          <w:szCs w:val="30"/>
          <w:u w:val="none"/>
          <w:lang w:eastAsia="zh-CN"/>
          <w14:textFill>
            <w14:solidFill>
              <w14:schemeClr w14:val="tx1"/>
            </w14:solidFill>
          </w14:textFill>
        </w:rPr>
        <w:t>综合</w:t>
      </w:r>
      <w:r>
        <w:rPr>
          <w:rFonts w:hint="eastAsia" w:ascii="仿宋" w:hAnsi="仿宋" w:eastAsia="仿宋" w:cs="仿宋"/>
          <w:color w:val="000000" w:themeColor="text1"/>
          <w:sz w:val="30"/>
          <w:szCs w:val="30"/>
          <w:u w:val="none"/>
          <w14:textFill>
            <w14:solidFill>
              <w14:schemeClr w14:val="tx1"/>
            </w14:solidFill>
          </w14:textFill>
        </w:rPr>
        <w:t>素养内外兼修的人才培养模式。</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leftChars="0" w:right="0" w:firstLine="602" w:firstLineChars="200"/>
        <w:jc w:val="both"/>
        <w:textAlignment w:val="auto"/>
        <w:outlineLvl w:val="2"/>
        <w:rPr>
          <w:rFonts w:hint="eastAsia" w:ascii="仿宋" w:hAnsi="仿宋" w:eastAsia="仿宋" w:cs="仿宋"/>
          <w:b/>
          <w:color w:val="auto"/>
          <w:sz w:val="30"/>
          <w:szCs w:val="30"/>
          <w:u w:val="none"/>
        </w:rPr>
      </w:pPr>
      <w:bookmarkStart w:id="74" w:name="_Toc30779"/>
      <w:r>
        <w:rPr>
          <w:rFonts w:hint="eastAsia" w:ascii="仿宋" w:hAnsi="仿宋" w:eastAsia="仿宋" w:cs="仿宋"/>
          <w:b/>
          <w:color w:val="auto"/>
          <w:kern w:val="0"/>
          <w:sz w:val="30"/>
          <w:szCs w:val="30"/>
          <w:u w:val="none"/>
          <w:lang w:val="en-US" w:eastAsia="zh-CN" w:bidi="ar"/>
        </w:rPr>
        <w:t>2.深化课程与教学改革，</w:t>
      </w:r>
      <w:r>
        <w:rPr>
          <w:rFonts w:hint="eastAsia" w:ascii="仿宋" w:hAnsi="仿宋" w:eastAsia="仿宋" w:cs="仿宋"/>
          <w:b/>
          <w:color w:val="FF0000"/>
          <w:kern w:val="0"/>
          <w:sz w:val="30"/>
          <w:szCs w:val="30"/>
          <w:u w:val="none"/>
          <w:lang w:val="en-US" w:eastAsia="zh-CN" w:bidi="ar"/>
        </w:rPr>
        <w:t>打造教学质量革命新亮点</w:t>
      </w:r>
      <w:bookmarkEnd w:id="74"/>
      <w:r>
        <w:rPr>
          <w:rFonts w:hint="eastAsia" w:ascii="仿宋" w:hAnsi="仿宋" w:eastAsia="仿宋" w:cs="仿宋"/>
          <w:b/>
          <w:color w:val="FF0000"/>
          <w:kern w:val="0"/>
          <w:sz w:val="30"/>
          <w:szCs w:val="30"/>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20" w:lineRule="exact"/>
        <w:ind w:left="0" w:leftChars="0" w:firstLine="602" w:firstLineChars="200"/>
        <w:jc w:val="both"/>
        <w:textAlignment w:val="auto"/>
        <w:rPr>
          <w:rFonts w:hint="eastAsia" w:ascii="仿宋" w:hAnsi="仿宋" w:eastAsia="仿宋" w:cs="仿宋"/>
          <w:b w:val="0"/>
          <w:bCs/>
          <w:color w:val="000000" w:themeColor="text1"/>
          <w:sz w:val="30"/>
          <w:szCs w:val="30"/>
          <w:u w:val="none"/>
          <w:lang w:val="en-US"/>
          <w14:textFill>
            <w14:solidFill>
              <w14:schemeClr w14:val="tx1"/>
            </w14:solidFill>
          </w14:textFill>
        </w:rPr>
      </w:pPr>
      <w:r>
        <w:rPr>
          <w:rFonts w:hint="eastAsia" w:ascii="仿宋" w:hAnsi="仿宋" w:eastAsia="仿宋" w:cs="仿宋"/>
          <w:b/>
          <w:bCs w:val="0"/>
          <w:color w:val="FF0000"/>
          <w:kern w:val="2"/>
          <w:sz w:val="30"/>
          <w:szCs w:val="30"/>
          <w:u w:val="none"/>
          <w:lang w:val="en-US" w:eastAsia="zh-CN" w:bidi="ar-SA"/>
        </w:rPr>
        <w:t>坚持以本为本、以评促建，</w:t>
      </w:r>
      <w:r>
        <w:rPr>
          <w:rFonts w:hint="eastAsia" w:ascii="仿宋" w:hAnsi="仿宋" w:eastAsia="仿宋" w:cs="仿宋"/>
          <w:b/>
          <w:bCs w:val="0"/>
          <w:color w:val="auto"/>
          <w:kern w:val="2"/>
          <w:sz w:val="30"/>
          <w:szCs w:val="30"/>
          <w:u w:val="none"/>
          <w:lang w:val="en-US" w:eastAsia="zh-CN" w:bidi="ar-SA"/>
        </w:rPr>
        <w:t>推进本科教学质量工程建设</w:t>
      </w:r>
      <w:r>
        <w:rPr>
          <w:rFonts w:hint="eastAsia" w:ascii="仿宋" w:hAnsi="仿宋" w:eastAsia="仿宋" w:cs="仿宋"/>
          <w:b w:val="0"/>
          <w:bCs/>
          <w:color w:val="auto"/>
          <w:kern w:val="2"/>
          <w:sz w:val="30"/>
          <w:szCs w:val="30"/>
          <w:u w:val="none"/>
          <w:lang w:eastAsia="zh-CN" w:bidi="ar-SA"/>
        </w:rPr>
        <w:t>。</w:t>
      </w:r>
      <w:r>
        <w:rPr>
          <w:rFonts w:hint="eastAsia" w:ascii="仿宋" w:hAnsi="仿宋" w:eastAsia="仿宋" w:cs="仿宋"/>
          <w:b w:val="0"/>
          <w:bCs/>
          <w:color w:val="auto"/>
          <w:kern w:val="2"/>
          <w:sz w:val="30"/>
          <w:szCs w:val="30"/>
          <w:u w:val="none"/>
          <w:lang w:val="en-US" w:eastAsia="zh-CN" w:bidi="ar-SA"/>
        </w:rPr>
        <w:t>强化基层教学组织</w:t>
      </w:r>
      <w:r>
        <w:rPr>
          <w:rFonts w:hint="eastAsia" w:ascii="仿宋" w:hAnsi="仿宋" w:eastAsia="仿宋" w:cs="仿宋"/>
          <w:b w:val="0"/>
          <w:bCs/>
          <w:color w:val="auto"/>
          <w:kern w:val="2"/>
          <w:sz w:val="30"/>
          <w:szCs w:val="30"/>
          <w:u w:val="none"/>
          <w:lang w:eastAsia="zh-CN" w:bidi="ar-SA"/>
        </w:rPr>
        <w:t>教学管理职能</w:t>
      </w:r>
      <w:r>
        <w:rPr>
          <w:rFonts w:hint="eastAsia" w:ascii="仿宋" w:hAnsi="仿宋" w:eastAsia="仿宋" w:cs="仿宋"/>
          <w:b w:val="0"/>
          <w:bCs/>
          <w:color w:val="auto"/>
          <w:kern w:val="2"/>
          <w:sz w:val="30"/>
          <w:szCs w:val="30"/>
          <w:u w:val="none"/>
          <w:lang w:val="en-US" w:eastAsia="zh-CN" w:bidi="ar-SA"/>
        </w:rPr>
        <w:t>，夯实本科教学工作的组织</w:t>
      </w:r>
      <w:r>
        <w:rPr>
          <w:rFonts w:hint="eastAsia" w:ascii="仿宋" w:hAnsi="仿宋" w:eastAsia="仿宋" w:cs="仿宋"/>
          <w:b w:val="0"/>
          <w:bCs/>
          <w:color w:val="000000" w:themeColor="text1"/>
          <w:kern w:val="2"/>
          <w:sz w:val="30"/>
          <w:szCs w:val="30"/>
          <w:u w:val="none"/>
          <w:lang w:val="en-US" w:eastAsia="zh-CN" w:bidi="ar-SA"/>
          <w14:textFill>
            <w14:solidFill>
              <w14:schemeClr w14:val="tx1"/>
            </w14:solidFill>
          </w14:textFill>
        </w:rPr>
        <w:t>基础。根据应用型人才培养定位，构建并凝练核心课程体系，</w:t>
      </w:r>
      <w:r>
        <w:rPr>
          <w:rFonts w:hint="eastAsia" w:ascii="仿宋" w:hAnsi="仿宋" w:eastAsia="仿宋" w:cs="仿宋"/>
          <w:b w:val="0"/>
          <w:bCs/>
          <w:color w:val="000000" w:themeColor="text1"/>
          <w:kern w:val="2"/>
          <w:sz w:val="30"/>
          <w:szCs w:val="30"/>
          <w:u w:val="none"/>
          <w:lang w:eastAsia="zh-CN" w:bidi="ar-SA"/>
          <w14:textFill>
            <w14:solidFill>
              <w14:schemeClr w14:val="tx1"/>
            </w14:solidFill>
          </w14:textFill>
        </w:rPr>
        <w:t>加强和</w:t>
      </w:r>
      <w:r>
        <w:rPr>
          <w:rFonts w:hint="eastAsia" w:ascii="仿宋" w:hAnsi="仿宋" w:eastAsia="仿宋" w:cs="仿宋"/>
          <w:b w:val="0"/>
          <w:bCs/>
          <w:color w:val="000000" w:themeColor="text1"/>
          <w:kern w:val="2"/>
          <w:sz w:val="30"/>
          <w:szCs w:val="30"/>
          <w:u w:val="none"/>
          <w:lang w:val="en-US" w:eastAsia="zh-CN" w:bidi="ar-SA"/>
          <w14:textFill>
            <w14:solidFill>
              <w14:schemeClr w14:val="tx1"/>
            </w14:solidFill>
          </w14:textFill>
        </w:rPr>
        <w:t>完善具有农林特色的通识课程体系及专业核心课程建设，</w:t>
      </w:r>
      <w:r>
        <w:rPr>
          <w:rFonts w:hint="eastAsia" w:ascii="仿宋" w:hAnsi="仿宋" w:eastAsia="仿宋" w:cs="仿宋"/>
          <w:b w:val="0"/>
          <w:bCs/>
          <w:color w:val="auto"/>
          <w:kern w:val="2"/>
          <w:sz w:val="30"/>
          <w:szCs w:val="30"/>
          <w:u w:val="none"/>
          <w:lang w:val="en-US" w:eastAsia="zh-CN" w:bidi="ar-SA"/>
        </w:rPr>
        <w:t>注重</w:t>
      </w:r>
      <w:r>
        <w:rPr>
          <w:rFonts w:hint="eastAsia" w:ascii="仿宋" w:hAnsi="仿宋" w:eastAsia="仿宋" w:cs="仿宋"/>
          <w:b w:val="0"/>
          <w:bCs/>
          <w:color w:val="000000" w:themeColor="text1"/>
          <w:kern w:val="2"/>
          <w:sz w:val="30"/>
          <w:szCs w:val="30"/>
          <w:u w:val="none"/>
          <w:lang w:eastAsia="zh-CN" w:bidi="ar-SA"/>
          <w14:textFill>
            <w14:solidFill>
              <w14:schemeClr w14:val="tx1"/>
            </w14:solidFill>
          </w14:textFill>
        </w:rPr>
        <w:t>培育精品课程</w:t>
      </w:r>
      <w:r>
        <w:rPr>
          <w:rFonts w:hint="eastAsia" w:ascii="仿宋" w:hAnsi="仿宋" w:eastAsia="仿宋" w:cs="仿宋"/>
          <w:b w:val="0"/>
          <w:bCs/>
          <w:color w:val="000000" w:themeColor="text1"/>
          <w:kern w:val="2"/>
          <w:sz w:val="30"/>
          <w:szCs w:val="30"/>
          <w:u w:val="none"/>
          <w:lang w:val="en-US" w:eastAsia="zh-CN" w:bidi="ar-SA"/>
          <w14:textFill>
            <w14:solidFill>
              <w14:schemeClr w14:val="tx1"/>
            </w14:solidFill>
          </w14:textFill>
        </w:rPr>
        <w:t>。依据新农科人才培养要求，整体设计、整合优化面向新农科的课程</w:t>
      </w:r>
      <w:r>
        <w:rPr>
          <w:rFonts w:hint="eastAsia" w:ascii="仿宋" w:hAnsi="仿宋" w:eastAsia="仿宋" w:cs="仿宋"/>
          <w:b w:val="0"/>
          <w:bCs/>
          <w:color w:val="000000" w:themeColor="text1"/>
          <w:kern w:val="2"/>
          <w:sz w:val="30"/>
          <w:szCs w:val="30"/>
          <w:u w:val="none"/>
          <w:lang w:eastAsia="zh-CN" w:bidi="ar-SA"/>
          <w14:textFill>
            <w14:solidFill>
              <w14:schemeClr w14:val="tx1"/>
            </w14:solidFill>
          </w14:textFill>
        </w:rPr>
        <w:t>、</w:t>
      </w:r>
      <w:r>
        <w:rPr>
          <w:rFonts w:hint="eastAsia" w:ascii="仿宋" w:hAnsi="仿宋" w:eastAsia="仿宋" w:cs="仿宋"/>
          <w:b w:val="0"/>
          <w:bCs/>
          <w:color w:val="000000" w:themeColor="text1"/>
          <w:kern w:val="2"/>
          <w:sz w:val="30"/>
          <w:szCs w:val="30"/>
          <w:u w:val="none"/>
          <w:lang w:val="en-US" w:eastAsia="zh-CN" w:bidi="ar-SA"/>
          <w14:textFill>
            <w14:solidFill>
              <w14:schemeClr w14:val="tx1"/>
            </w14:solidFill>
          </w14:textFill>
        </w:rPr>
        <w:t>教材</w:t>
      </w:r>
      <w:r>
        <w:rPr>
          <w:rFonts w:hint="eastAsia" w:ascii="仿宋" w:hAnsi="仿宋" w:eastAsia="仿宋" w:cs="仿宋"/>
          <w:b w:val="0"/>
          <w:bCs/>
          <w:color w:val="000000" w:themeColor="text1"/>
          <w:kern w:val="2"/>
          <w:sz w:val="30"/>
          <w:szCs w:val="30"/>
          <w:u w:val="none"/>
          <w:lang w:eastAsia="zh-CN" w:bidi="ar-SA"/>
          <w14:textFill>
            <w14:solidFill>
              <w14:schemeClr w14:val="tx1"/>
            </w14:solidFill>
          </w14:textFill>
        </w:rPr>
        <w:t>、教学</w:t>
      </w:r>
      <w:r>
        <w:rPr>
          <w:rFonts w:hint="eastAsia" w:ascii="仿宋" w:hAnsi="仿宋" w:eastAsia="仿宋" w:cs="仿宋"/>
          <w:b w:val="0"/>
          <w:bCs/>
          <w:color w:val="000000" w:themeColor="text1"/>
          <w:kern w:val="2"/>
          <w:sz w:val="30"/>
          <w:szCs w:val="30"/>
          <w:u w:val="none"/>
          <w:lang w:val="en-US" w:eastAsia="zh-CN" w:bidi="ar-SA"/>
          <w14:textFill>
            <w14:solidFill>
              <w14:schemeClr w14:val="tx1"/>
            </w14:solidFill>
          </w14:textFill>
        </w:rPr>
        <w:t>体系。</w:t>
      </w:r>
      <w:r>
        <w:rPr>
          <w:rFonts w:hint="eastAsia" w:ascii="仿宋" w:hAnsi="仿宋" w:eastAsia="仿宋" w:cs="仿宋"/>
          <w:b w:val="0"/>
          <w:bCs/>
          <w:color w:val="FF0000"/>
          <w:kern w:val="2"/>
          <w:sz w:val="30"/>
          <w:szCs w:val="30"/>
          <w:u w:val="none"/>
          <w:lang w:val="en-US" w:eastAsia="zh-CN" w:bidi="ar-SA"/>
        </w:rPr>
        <w:t>拓宽育人主渠道，强化思政课程、课程思政和专业思政建设</w:t>
      </w:r>
      <w:r>
        <w:rPr>
          <w:rFonts w:hint="eastAsia" w:ascii="仿宋" w:hAnsi="仿宋" w:eastAsia="仿宋" w:cs="仿宋"/>
          <w:b w:val="0"/>
          <w:bCs/>
          <w:color w:val="000000" w:themeColor="text1"/>
          <w:kern w:val="2"/>
          <w:sz w:val="30"/>
          <w:szCs w:val="30"/>
          <w:u w:val="none"/>
          <w:lang w:val="en-US" w:eastAsia="zh-CN" w:bidi="ar-SA"/>
          <w14:textFill>
            <w14:solidFill>
              <w14:schemeClr w14:val="tx1"/>
            </w14:solidFill>
          </w14:textFill>
        </w:rPr>
        <w:t>，将思政教育贯穿人才培养体系，</w:t>
      </w:r>
      <w:r>
        <w:rPr>
          <w:rFonts w:hint="eastAsia" w:ascii="仿宋" w:hAnsi="仿宋" w:eastAsia="仿宋" w:cs="仿宋"/>
          <w:b w:val="0"/>
          <w:bCs/>
          <w:color w:val="auto"/>
          <w:kern w:val="2"/>
          <w:sz w:val="30"/>
          <w:szCs w:val="30"/>
          <w:u w:val="none"/>
          <w:lang w:val="en-US" w:eastAsia="zh-CN" w:bidi="ar-SA"/>
        </w:rPr>
        <w:t>注重提炼家国情怀、法治意识、社会责任、文化自信、人文精神等课程思政要素，</w:t>
      </w:r>
      <w:r>
        <w:rPr>
          <w:rFonts w:hint="eastAsia" w:ascii="仿宋" w:hAnsi="仿宋" w:eastAsia="仿宋" w:cs="仿宋"/>
          <w:b w:val="0"/>
          <w:bCs/>
          <w:color w:val="000000" w:themeColor="text1"/>
          <w:kern w:val="2"/>
          <w:sz w:val="30"/>
          <w:szCs w:val="30"/>
          <w:u w:val="none"/>
          <w:lang w:val="en-US" w:eastAsia="zh-CN" w:bidi="ar-SA"/>
          <w14:textFill>
            <w14:solidFill>
              <w14:schemeClr w14:val="tx1"/>
            </w14:solidFill>
          </w14:textFill>
        </w:rPr>
        <w:t>培养具有“大国三农”情怀、“一懂两爱”新型人才；</w:t>
      </w:r>
      <w:r>
        <w:rPr>
          <w:rFonts w:hint="eastAsia" w:ascii="仿宋" w:hAnsi="仿宋" w:eastAsia="仿宋" w:cs="仿宋"/>
          <w:b w:val="0"/>
          <w:bCs/>
          <w:color w:val="auto"/>
          <w:kern w:val="2"/>
          <w:sz w:val="30"/>
          <w:szCs w:val="30"/>
          <w:u w:val="none"/>
          <w:lang w:val="en-US" w:eastAsia="zh-CN" w:bidi="ar-SA"/>
        </w:rPr>
        <w:t>结合学校实际和区域发展特色，整合优质资源，将</w:t>
      </w:r>
      <w:r>
        <w:rPr>
          <w:rFonts w:hint="eastAsia" w:ascii="仿宋" w:hAnsi="仿宋" w:eastAsia="仿宋" w:cs="仿宋"/>
          <w:b w:val="0"/>
          <w:bCs/>
          <w:color w:val="000000" w:themeColor="text1"/>
          <w:kern w:val="2"/>
          <w:sz w:val="30"/>
          <w:szCs w:val="30"/>
          <w:u w:val="none"/>
          <w:lang w:val="en-US" w:eastAsia="zh-CN" w:bidi="ar-SA"/>
          <w14:textFill>
            <w14:solidFill>
              <w14:schemeClr w14:val="tx1"/>
            </w14:solidFill>
          </w14:textFill>
        </w:rPr>
        <w:t>大别山红色文化等地域特色文化资源融入课堂教学，打造富有地域特色</w:t>
      </w:r>
      <w:r>
        <w:rPr>
          <w:rFonts w:hint="eastAsia" w:ascii="仿宋" w:hAnsi="仿宋" w:eastAsia="仿宋" w:cs="仿宋"/>
          <w:b w:val="0"/>
          <w:bCs/>
          <w:color w:val="000000" w:themeColor="text1"/>
          <w:kern w:val="2"/>
          <w:sz w:val="30"/>
          <w:szCs w:val="30"/>
          <w:u w:val="none"/>
          <w:lang w:eastAsia="zh-CN" w:bidi="ar-SA"/>
          <w14:textFill>
            <w14:solidFill>
              <w14:schemeClr w14:val="tx1"/>
            </w14:solidFill>
          </w14:textFill>
        </w:rPr>
        <w:t>和</w:t>
      </w:r>
      <w:r>
        <w:rPr>
          <w:rFonts w:hint="eastAsia" w:ascii="仿宋" w:hAnsi="仿宋" w:eastAsia="仿宋" w:cs="仿宋"/>
          <w:b w:val="0"/>
          <w:bCs/>
          <w:color w:val="000000" w:themeColor="text1"/>
          <w:kern w:val="2"/>
          <w:sz w:val="30"/>
          <w:szCs w:val="30"/>
          <w:u w:val="none"/>
          <w:lang w:val="en-US" w:eastAsia="zh-CN" w:bidi="ar-SA"/>
          <w14:textFill>
            <w14:solidFill>
              <w14:schemeClr w14:val="tx1"/>
            </w14:solidFill>
          </w14:textFill>
        </w:rPr>
        <w:t>农林特色的“金课”品牌。</w:t>
      </w:r>
    </w:p>
    <w:p>
      <w:pPr>
        <w:pStyle w:val="7"/>
        <w:keepNext w:val="0"/>
        <w:keepLines w:val="0"/>
        <w:pageBreakBefore w:val="0"/>
        <w:kinsoku/>
        <w:wordWrap/>
        <w:overflowPunct/>
        <w:topLinePunct w:val="0"/>
        <w:autoSpaceDE/>
        <w:autoSpaceDN/>
        <w:bidi w:val="0"/>
        <w:adjustRightInd/>
        <w:snapToGrid/>
        <w:spacing w:beforeAutospacing="0" w:afterAutospacing="0" w:line="520" w:lineRule="exact"/>
        <w:ind w:left="0" w:leftChars="0" w:right="0" w:firstLine="602" w:firstLineChars="200"/>
        <w:jc w:val="both"/>
        <w:textAlignment w:val="auto"/>
        <w:rPr>
          <w:rFonts w:hint="eastAsia" w:ascii="仿宋" w:hAnsi="仿宋" w:eastAsia="仿宋" w:cs="仿宋"/>
          <w:b w:val="0"/>
          <w:bCs/>
          <w:color w:val="000000" w:themeColor="text1"/>
          <w:kern w:val="2"/>
          <w:sz w:val="30"/>
          <w:szCs w:val="30"/>
          <w:u w:val="none"/>
          <w:lang w:val="en-US" w:eastAsia="zh-CN" w:bidi="ar-SA"/>
          <w14:textFill>
            <w14:solidFill>
              <w14:schemeClr w14:val="tx1"/>
            </w14:solidFill>
          </w14:textFill>
        </w:rPr>
      </w:pPr>
      <w:r>
        <w:rPr>
          <w:rFonts w:hint="eastAsia" w:ascii="仿宋" w:hAnsi="仿宋" w:eastAsia="仿宋" w:cs="仿宋"/>
          <w:b/>
          <w:bCs w:val="0"/>
          <w:color w:val="000000" w:themeColor="text1"/>
          <w:kern w:val="2"/>
          <w:sz w:val="30"/>
          <w:szCs w:val="30"/>
          <w:u w:val="none"/>
          <w:lang w:val="en-US" w:eastAsia="zh-CN" w:bidi="ar-SA"/>
          <w14:textFill>
            <w14:solidFill>
              <w14:schemeClr w14:val="tx1"/>
            </w14:solidFill>
          </w14:textFill>
        </w:rPr>
        <w:t>探索“互联网+”背景下教学模式与方法改革，推进</w:t>
      </w:r>
      <w:r>
        <w:rPr>
          <w:rFonts w:hint="eastAsia" w:cs="仿宋"/>
          <w:b/>
          <w:bCs w:val="0"/>
          <w:color w:val="000000" w:themeColor="text1"/>
          <w:kern w:val="2"/>
          <w:sz w:val="30"/>
          <w:szCs w:val="30"/>
          <w:u w:val="none"/>
          <w:lang w:val="en-US" w:eastAsia="zh-CN" w:bidi="ar-SA"/>
          <w14:textFill>
            <w14:solidFill>
              <w14:schemeClr w14:val="tx1"/>
            </w14:solidFill>
          </w14:textFill>
        </w:rPr>
        <w:t>以信息化技术为支撑的</w:t>
      </w:r>
      <w:r>
        <w:rPr>
          <w:rFonts w:hint="eastAsia" w:ascii="仿宋" w:hAnsi="仿宋" w:eastAsia="仿宋" w:cs="仿宋"/>
          <w:b/>
          <w:bCs w:val="0"/>
          <w:color w:val="000000" w:themeColor="text1"/>
          <w:kern w:val="2"/>
          <w:sz w:val="30"/>
          <w:szCs w:val="30"/>
          <w:u w:val="none"/>
          <w:lang w:val="en-US" w:eastAsia="zh-CN" w:bidi="ar-SA"/>
          <w14:textFill>
            <w14:solidFill>
              <w14:schemeClr w14:val="tx1"/>
            </w14:solidFill>
          </w14:textFill>
        </w:rPr>
        <w:t>课堂革命</w:t>
      </w:r>
      <w:r>
        <w:rPr>
          <w:rFonts w:hint="eastAsia" w:cs="仿宋"/>
          <w:b/>
          <w:bCs w:val="0"/>
          <w:color w:val="000000" w:themeColor="text1"/>
          <w:kern w:val="2"/>
          <w:sz w:val="30"/>
          <w:szCs w:val="30"/>
          <w:u w:val="none"/>
          <w:lang w:val="en-US" w:eastAsia="zh-CN" w:bidi="ar-SA"/>
          <w14:textFill>
            <w14:solidFill>
              <w14:schemeClr w14:val="tx1"/>
            </w14:solidFill>
          </w14:textFill>
        </w:rPr>
        <w:t>和新型教育教学评价改革</w:t>
      </w:r>
      <w:r>
        <w:rPr>
          <w:rFonts w:hint="eastAsia" w:ascii="仿宋" w:hAnsi="仿宋" w:eastAsia="仿宋" w:cs="仿宋"/>
          <w:b w:val="0"/>
          <w:bCs/>
          <w:color w:val="000000" w:themeColor="text1"/>
          <w:kern w:val="2"/>
          <w:sz w:val="30"/>
          <w:szCs w:val="30"/>
          <w:u w:val="none"/>
          <w:lang w:val="en-US" w:eastAsia="zh-CN" w:bidi="ar-SA"/>
          <w14:textFill>
            <w14:solidFill>
              <w14:schemeClr w14:val="tx1"/>
            </w14:solidFill>
          </w14:textFill>
        </w:rPr>
        <w:t>。</w:t>
      </w:r>
      <w:r>
        <w:rPr>
          <w:rFonts w:hint="eastAsia" w:ascii="仿宋" w:hAnsi="仿宋" w:eastAsia="仿宋" w:cs="仿宋"/>
          <w:b w:val="0"/>
          <w:bCs/>
          <w:color w:val="000000" w:themeColor="text1"/>
          <w:kern w:val="2"/>
          <w:sz w:val="30"/>
          <w:szCs w:val="30"/>
          <w:u w:val="none"/>
          <w:lang w:eastAsia="zh-CN" w:bidi="ar-SA"/>
          <w14:textFill>
            <w14:solidFill>
              <w14:schemeClr w14:val="tx1"/>
            </w14:solidFill>
          </w14:textFill>
        </w:rPr>
        <w:t>适应“后疫情”时代常态化教学改革需要，充分利用现代信息技术等手段，搭建线上、线下有机结合的教育教学平台，</w:t>
      </w:r>
      <w:r>
        <w:rPr>
          <w:rFonts w:hint="eastAsia" w:cs="仿宋"/>
          <w:b w:val="0"/>
          <w:bCs/>
          <w:color w:val="000000" w:themeColor="text1"/>
          <w:kern w:val="2"/>
          <w:sz w:val="30"/>
          <w:szCs w:val="30"/>
          <w:u w:val="none"/>
          <w:lang w:eastAsia="zh-CN" w:bidi="ar-SA"/>
          <w14:textFill>
            <w14:solidFill>
              <w14:schemeClr w14:val="tx1"/>
            </w14:solidFill>
          </w14:textFill>
        </w:rPr>
        <w:t>整合同类高校优质教学资源，打造课程合作与交流平台，</w:t>
      </w:r>
      <w:r>
        <w:rPr>
          <w:rFonts w:hint="eastAsia" w:cs="仿宋"/>
          <w:b w:val="0"/>
          <w:bCs/>
          <w:color w:val="000000" w:themeColor="text1"/>
          <w:kern w:val="2"/>
          <w:sz w:val="30"/>
          <w:szCs w:val="30"/>
          <w:u w:val="none"/>
          <w:lang w:val="en-US" w:eastAsia="zh-CN" w:bidi="ar-SA"/>
          <w14:textFill>
            <w14:solidFill>
              <w14:schemeClr w14:val="tx1"/>
            </w14:solidFill>
          </w14:textFill>
        </w:rPr>
        <w:t>推动</w:t>
      </w:r>
      <w:r>
        <w:rPr>
          <w:rFonts w:hint="eastAsia" w:ascii="仿宋" w:hAnsi="仿宋" w:eastAsia="仿宋" w:cs="仿宋"/>
          <w:b w:val="0"/>
          <w:bCs/>
          <w:color w:val="000000" w:themeColor="text1"/>
          <w:kern w:val="2"/>
          <w:sz w:val="30"/>
          <w:szCs w:val="30"/>
          <w:u w:val="none"/>
          <w:lang w:val="en-US" w:eastAsia="zh-CN" w:bidi="ar-SA"/>
          <w14:textFill>
            <w14:solidFill>
              <w14:schemeClr w14:val="tx1"/>
            </w14:solidFill>
          </w14:textFill>
        </w:rPr>
        <w:t>精品开放课程、精品资源共享课程、公共课、基础课等网络共享平台建设</w:t>
      </w:r>
      <w:r>
        <w:rPr>
          <w:rFonts w:hint="eastAsia" w:cs="仿宋"/>
          <w:b w:val="0"/>
          <w:bCs/>
          <w:color w:val="000000" w:themeColor="text1"/>
          <w:kern w:val="2"/>
          <w:sz w:val="30"/>
          <w:szCs w:val="30"/>
          <w:highlight w:val="none"/>
          <w:u w:val="none"/>
          <w:lang w:val="en-US" w:eastAsia="zh-CN" w:bidi="ar-SA"/>
          <w14:textFill>
            <w14:solidFill>
              <w14:schemeClr w14:val="tx1"/>
            </w14:solidFill>
          </w14:textFill>
        </w:rPr>
        <w:t>。</w:t>
      </w:r>
      <w:r>
        <w:rPr>
          <w:rFonts w:hint="eastAsia" w:ascii="仿宋" w:hAnsi="仿宋" w:eastAsia="仿宋" w:cs="仿宋"/>
          <w:b w:val="0"/>
          <w:bCs/>
          <w:color w:val="000000" w:themeColor="text1"/>
          <w:kern w:val="2"/>
          <w:sz w:val="30"/>
          <w:szCs w:val="30"/>
          <w:u w:val="none"/>
          <w:lang w:val="en-US" w:eastAsia="zh-CN" w:bidi="ar-SA"/>
          <w14:textFill>
            <w14:solidFill>
              <w14:schemeClr w14:val="tx1"/>
            </w14:solidFill>
          </w14:textFill>
        </w:rPr>
        <w:t>到2025年，建成基于“校园云”的课程资源和学习空间，实现各专业核心课程的网络教学资源化。按照国家</w:t>
      </w:r>
      <w:r>
        <w:rPr>
          <w:rFonts w:hint="eastAsia" w:cs="仿宋"/>
          <w:b w:val="0"/>
          <w:bCs/>
          <w:color w:val="000000" w:themeColor="text1"/>
          <w:kern w:val="2"/>
          <w:sz w:val="30"/>
          <w:szCs w:val="30"/>
          <w:u w:val="none"/>
          <w:lang w:val="en-US" w:eastAsia="zh-CN" w:bidi="ar-SA"/>
          <w14:textFill>
            <w14:solidFill>
              <w14:schemeClr w14:val="tx1"/>
            </w14:solidFill>
          </w14:textFill>
        </w:rPr>
        <w:t>关于</w:t>
      </w:r>
      <w:r>
        <w:rPr>
          <w:rFonts w:hint="eastAsia" w:ascii="仿宋" w:hAnsi="仿宋" w:eastAsia="仿宋" w:cs="仿宋"/>
          <w:b w:val="0"/>
          <w:bCs/>
          <w:color w:val="000000" w:themeColor="text1"/>
          <w:kern w:val="2"/>
          <w:sz w:val="30"/>
          <w:szCs w:val="30"/>
          <w:u w:val="none"/>
          <w:lang w:val="en-US" w:eastAsia="zh-CN" w:bidi="ar-SA"/>
          <w14:textFill>
            <w14:solidFill>
              <w14:schemeClr w14:val="tx1"/>
            </w14:solidFill>
          </w14:textFill>
        </w:rPr>
        <w:t>《深化新时代教育评价改革总体方案》要求，以学生发展为中心，</w:t>
      </w:r>
      <w:r>
        <w:rPr>
          <w:rFonts w:hint="eastAsia" w:cs="仿宋"/>
          <w:b w:val="0"/>
          <w:bCs/>
          <w:color w:val="000000" w:themeColor="text1"/>
          <w:kern w:val="2"/>
          <w:sz w:val="30"/>
          <w:szCs w:val="30"/>
          <w:u w:val="none"/>
          <w:lang w:val="en-US" w:eastAsia="zh-CN" w:bidi="ar-SA"/>
          <w14:textFill>
            <w14:solidFill>
              <w14:schemeClr w14:val="tx1"/>
            </w14:solidFill>
          </w14:textFill>
        </w:rPr>
        <w:t>探索新形势下教学模式与学生学习模式改革，</w:t>
      </w:r>
      <w:r>
        <w:rPr>
          <w:rFonts w:hint="eastAsia" w:ascii="仿宋" w:hAnsi="仿宋" w:eastAsia="仿宋" w:cs="仿宋"/>
          <w:b w:val="0"/>
          <w:bCs/>
          <w:color w:val="000000" w:themeColor="text1"/>
          <w:kern w:val="2"/>
          <w:sz w:val="30"/>
          <w:szCs w:val="30"/>
          <w:u w:val="none"/>
          <w:lang w:val="en-US" w:eastAsia="zh-CN" w:bidi="ar-SA"/>
          <w14:textFill>
            <w14:solidFill>
              <w14:schemeClr w14:val="tx1"/>
            </w14:solidFill>
          </w14:textFill>
        </w:rPr>
        <w:t>全面推行</w:t>
      </w:r>
      <w:r>
        <w:rPr>
          <w:rFonts w:hint="eastAsia" w:ascii="仿宋" w:hAnsi="仿宋" w:eastAsia="仿宋" w:cs="仿宋"/>
          <w:b w:val="0"/>
          <w:bCs/>
          <w:color w:val="000000" w:themeColor="text1"/>
          <w:kern w:val="2"/>
          <w:sz w:val="30"/>
          <w:szCs w:val="30"/>
          <w:u w:val="none"/>
          <w:lang w:eastAsia="zh-CN" w:bidi="ar-SA"/>
          <w14:textFill>
            <w14:solidFill>
              <w14:schemeClr w14:val="tx1"/>
            </w14:solidFill>
          </w14:textFill>
        </w:rPr>
        <w:t>灵活多样的</w:t>
      </w:r>
      <w:r>
        <w:rPr>
          <w:rFonts w:hint="eastAsia" w:cs="仿宋"/>
          <w:b w:val="0"/>
          <w:bCs/>
          <w:color w:val="000000" w:themeColor="text1"/>
          <w:kern w:val="2"/>
          <w:sz w:val="30"/>
          <w:szCs w:val="30"/>
          <w:u w:val="none"/>
          <w:lang w:val="en-US" w:eastAsia="zh-CN" w:bidi="ar-SA"/>
          <w14:textFill>
            <w14:solidFill>
              <w14:schemeClr w14:val="tx1"/>
            </w14:solidFill>
          </w14:textFill>
        </w:rPr>
        <w:t>考核评价</w:t>
      </w:r>
      <w:r>
        <w:rPr>
          <w:rFonts w:hint="eastAsia" w:ascii="仿宋" w:hAnsi="仿宋" w:eastAsia="仿宋" w:cs="仿宋"/>
          <w:b w:val="0"/>
          <w:bCs/>
          <w:color w:val="000000" w:themeColor="text1"/>
          <w:kern w:val="2"/>
          <w:sz w:val="30"/>
          <w:szCs w:val="30"/>
          <w:u w:val="none"/>
          <w:lang w:val="en-US" w:eastAsia="zh-CN" w:bidi="ar-SA"/>
          <w14:textFill>
            <w14:solidFill>
              <w14:schemeClr w14:val="tx1"/>
            </w14:solidFill>
          </w14:textFill>
        </w:rPr>
        <w:t>方式改革，</w:t>
      </w:r>
      <w:r>
        <w:rPr>
          <w:rFonts w:hint="eastAsia" w:cs="仿宋"/>
          <w:b w:val="0"/>
          <w:bCs/>
          <w:color w:val="000000" w:themeColor="text1"/>
          <w:kern w:val="2"/>
          <w:sz w:val="30"/>
          <w:szCs w:val="30"/>
          <w:u w:val="none"/>
          <w:lang w:val="en-US" w:eastAsia="zh-CN" w:bidi="ar-SA"/>
          <w14:textFill>
            <w14:solidFill>
              <w14:schemeClr w14:val="tx1"/>
            </w14:solidFill>
          </w14:textFill>
        </w:rPr>
        <w:t>建立对学习过程的多元化评价体系。</w:t>
      </w:r>
      <w:r>
        <w:rPr>
          <w:rFonts w:hint="eastAsia" w:ascii="仿宋" w:hAnsi="仿宋" w:eastAsia="仿宋" w:cs="仿宋"/>
          <w:b w:val="0"/>
          <w:bCs/>
          <w:color w:val="000000" w:themeColor="text1"/>
          <w:kern w:val="2"/>
          <w:sz w:val="30"/>
          <w:szCs w:val="30"/>
          <w:u w:val="none"/>
          <w:lang w:val="en-US" w:eastAsia="zh-CN" w:bidi="ar-SA"/>
          <w14:textFill>
            <w14:solidFill>
              <w14:schemeClr w14:val="tx1"/>
            </w14:solidFill>
          </w14:textFill>
        </w:rPr>
        <w:t>创新学分管理制度，推进在线开放课程学分认定。鼓励小班授课，完善虚拟实验教学。</w:t>
      </w:r>
    </w:p>
    <w:p>
      <w:pPr>
        <w:pStyle w:val="4"/>
        <w:keepNext w:val="0"/>
        <w:keepLines w:val="0"/>
        <w:pageBreakBefore w:val="0"/>
        <w:widowControl w:val="0"/>
        <w:numPr>
          <w:ilvl w:val="0"/>
          <w:numId w:val="0"/>
        </w:numPr>
        <w:tabs>
          <w:tab w:val="left" w:pos="1560"/>
        </w:tabs>
        <w:kinsoku/>
        <w:wordWrap/>
        <w:overflowPunct/>
        <w:topLinePunct w:val="0"/>
        <w:autoSpaceDE/>
        <w:autoSpaceDN/>
        <w:bidi w:val="0"/>
        <w:adjustRightInd/>
        <w:snapToGrid/>
        <w:spacing w:before="0" w:beforeLines="0" w:after="0" w:afterLines="0" w:line="520" w:lineRule="exact"/>
        <w:ind w:left="0" w:leftChars="0" w:right="0" w:rightChars="0" w:firstLine="602" w:firstLineChars="200"/>
        <w:jc w:val="both"/>
        <w:textAlignment w:val="auto"/>
        <w:outlineLvl w:val="2"/>
        <w:rPr>
          <w:rFonts w:hint="eastAsia" w:ascii="仿宋" w:hAnsi="仿宋" w:eastAsia="仿宋" w:cs="仿宋"/>
          <w:b/>
          <w:bCs w:val="0"/>
          <w:color w:val="000000" w:themeColor="text1"/>
          <w:kern w:val="2"/>
          <w:sz w:val="30"/>
          <w:szCs w:val="30"/>
          <w:u w:val="none"/>
          <w:lang w:val="en-US" w:eastAsia="zh-CN" w:bidi="ar-SA"/>
          <w14:textFill>
            <w14:solidFill>
              <w14:schemeClr w14:val="tx1"/>
            </w14:solidFill>
          </w14:textFill>
        </w:rPr>
      </w:pPr>
      <w:bookmarkStart w:id="75" w:name="_Toc24578"/>
      <w:r>
        <w:rPr>
          <w:rFonts w:hint="eastAsia" w:ascii="仿宋" w:hAnsi="仿宋" w:eastAsia="仿宋" w:cs="仿宋"/>
          <w:b/>
          <w:bCs w:val="0"/>
          <w:color w:val="000000" w:themeColor="text1"/>
          <w:kern w:val="2"/>
          <w:sz w:val="30"/>
          <w:szCs w:val="30"/>
          <w:u w:val="none"/>
          <w:lang w:val="en-US" w:eastAsia="zh-CN" w:bidi="ar-SA"/>
          <w14:textFill>
            <w14:solidFill>
              <w14:schemeClr w14:val="tx1"/>
            </w14:solidFill>
          </w14:textFill>
        </w:rPr>
        <w:t>3.加强创</w:t>
      </w:r>
      <w:r>
        <w:rPr>
          <w:rFonts w:hint="eastAsia" w:ascii="仿宋" w:hAnsi="仿宋" w:eastAsia="仿宋" w:cs="仿宋"/>
          <w:b/>
          <w:bCs w:val="0"/>
          <w:color w:val="auto"/>
          <w:kern w:val="2"/>
          <w:sz w:val="30"/>
          <w:szCs w:val="30"/>
          <w:u w:val="none"/>
          <w:lang w:val="en-US" w:eastAsia="zh-CN" w:bidi="ar-SA"/>
        </w:rPr>
        <w:t>新创业教育改革，</w:t>
      </w:r>
      <w:r>
        <w:rPr>
          <w:rFonts w:hint="eastAsia" w:ascii="仿宋" w:hAnsi="仿宋" w:eastAsia="仿宋" w:cs="仿宋"/>
          <w:b/>
          <w:bCs w:val="0"/>
          <w:color w:val="000000" w:themeColor="text1"/>
          <w:kern w:val="2"/>
          <w:sz w:val="30"/>
          <w:szCs w:val="30"/>
          <w:u w:val="none"/>
          <w:lang w:val="en-US" w:eastAsia="zh-CN" w:bidi="ar-SA"/>
          <w14:textFill>
            <w14:solidFill>
              <w14:schemeClr w14:val="tx1"/>
            </w14:solidFill>
          </w14:textFill>
        </w:rPr>
        <w:t>提升学生创新创业意识新境界</w:t>
      </w:r>
      <w:bookmarkEnd w:id="75"/>
    </w:p>
    <w:p>
      <w:pPr>
        <w:keepNext w:val="0"/>
        <w:keepLines w:val="0"/>
        <w:pageBreakBefore w:val="0"/>
        <w:widowControl/>
        <w:suppressLineNumbers w:val="0"/>
        <w:kinsoku/>
        <w:wordWrap/>
        <w:overflowPunct/>
        <w:topLinePunct w:val="0"/>
        <w:autoSpaceDE/>
        <w:autoSpaceDN/>
        <w:bidi w:val="0"/>
        <w:adjustRightInd/>
        <w:snapToGrid/>
        <w:spacing w:line="520" w:lineRule="exact"/>
        <w:ind w:left="0" w:leftChars="0" w:firstLine="576"/>
        <w:jc w:val="both"/>
        <w:textAlignment w:val="auto"/>
        <w:rPr>
          <w:rFonts w:hint="eastAsia" w:ascii="仿宋" w:hAnsi="仿宋" w:eastAsia="仿宋" w:cs="仿宋"/>
          <w:color w:val="000000" w:themeColor="text1"/>
          <w:kern w:val="0"/>
          <w:sz w:val="30"/>
          <w:szCs w:val="30"/>
          <w:u w:val="none"/>
          <w:lang w:val="en-US" w:eastAsia="zh-CN" w:bidi="ar"/>
          <w14:textFill>
            <w14:solidFill>
              <w14:schemeClr w14:val="tx1"/>
            </w14:solidFill>
          </w14:textFill>
        </w:rPr>
      </w:pPr>
      <w:r>
        <w:rPr>
          <w:rFonts w:hint="eastAsia" w:ascii="仿宋" w:hAnsi="仿宋" w:eastAsia="仿宋" w:cs="仿宋"/>
          <w:b w:val="0"/>
          <w:bCs/>
          <w:color w:val="000000" w:themeColor="text1"/>
          <w:kern w:val="2"/>
          <w:sz w:val="30"/>
          <w:szCs w:val="30"/>
          <w:u w:val="none"/>
          <w:lang w:val="en-US" w:eastAsia="zh-CN" w:bidi="ar-SA"/>
          <w14:textFill>
            <w14:solidFill>
              <w14:schemeClr w14:val="tx1"/>
            </w14:solidFill>
          </w14:textFill>
        </w:rPr>
        <w:t>根据深化创新创业教育改革要求，完善创新创业教育课程体系，对创新创业教育进行全过程、全覆盖、全链条设计；改革教学管理、强化激励约束，打造课程平台、众创平台、孵化平台等三大平台，搭建课程体系、训练体系、孵化体系、“导师+”体系、基金项目体系等五大体系，为学生未来发展奠定坚实基础。完善创新创业学分积累与转换制度，鼓励学生参加社会调查、生产劳动、志愿服务、公益活动、科技发明和勤工助学等实践活动；加强专业实验室、虚拟仿真实验室、校内外实习实训基地及</w:t>
      </w:r>
      <w:r>
        <w:rPr>
          <w:rFonts w:hint="eastAsia" w:ascii="仿宋" w:hAnsi="仿宋" w:eastAsia="仿宋" w:cs="仿宋"/>
          <w:b w:val="0"/>
          <w:bCs/>
          <w:color w:val="FF0000"/>
          <w:kern w:val="2"/>
          <w:sz w:val="30"/>
          <w:szCs w:val="30"/>
          <w:u w:val="none"/>
          <w:lang w:val="en-US" w:eastAsia="zh-CN" w:bidi="ar-SA"/>
        </w:rPr>
        <w:t>大学生创业中心</w:t>
      </w:r>
      <w:r>
        <w:rPr>
          <w:rFonts w:hint="eastAsia" w:ascii="仿宋" w:hAnsi="仿宋" w:eastAsia="仿宋" w:cs="仿宋"/>
          <w:b w:val="0"/>
          <w:bCs/>
          <w:color w:val="000000" w:themeColor="text1"/>
          <w:kern w:val="2"/>
          <w:sz w:val="30"/>
          <w:szCs w:val="30"/>
          <w:u w:val="none"/>
          <w:lang w:val="en-US" w:eastAsia="zh-CN" w:bidi="ar-SA"/>
          <w14:textFill>
            <w14:solidFill>
              <w14:schemeClr w14:val="tx1"/>
            </w14:solidFill>
          </w14:textFill>
        </w:rPr>
        <w:t>等</w:t>
      </w:r>
      <w:r>
        <w:rPr>
          <w:rFonts w:hint="eastAsia" w:ascii="仿宋" w:hAnsi="仿宋" w:eastAsia="仿宋" w:cs="仿宋"/>
          <w:b w:val="0"/>
          <w:bCs/>
          <w:color w:val="FF0000"/>
          <w:kern w:val="2"/>
          <w:sz w:val="30"/>
          <w:szCs w:val="30"/>
          <w:u w:val="none"/>
          <w:lang w:val="en-US" w:eastAsia="zh-CN" w:bidi="ar-SA"/>
        </w:rPr>
        <w:t>“双创”平台</w:t>
      </w:r>
      <w:r>
        <w:rPr>
          <w:rFonts w:hint="eastAsia" w:ascii="仿宋" w:hAnsi="仿宋" w:eastAsia="仿宋" w:cs="仿宋"/>
          <w:b w:val="0"/>
          <w:bCs/>
          <w:color w:val="000000" w:themeColor="text1"/>
          <w:kern w:val="2"/>
          <w:sz w:val="30"/>
          <w:szCs w:val="30"/>
          <w:u w:val="none"/>
          <w:lang w:val="en-US" w:eastAsia="zh-CN" w:bidi="ar-SA"/>
          <w14:textFill>
            <w14:solidFill>
              <w14:schemeClr w14:val="tx1"/>
            </w14:solidFill>
          </w14:textFill>
        </w:rPr>
        <w:t>建设；</w:t>
      </w:r>
      <w:r>
        <w:rPr>
          <w:rFonts w:hint="eastAsia" w:ascii="仿宋" w:hAnsi="仿宋" w:eastAsia="仿宋" w:cs="仿宋"/>
          <w:b w:val="0"/>
          <w:bCs/>
          <w:color w:val="FF0000"/>
          <w:kern w:val="2"/>
          <w:sz w:val="30"/>
          <w:szCs w:val="30"/>
          <w:u w:val="none"/>
          <w:lang w:val="en-US" w:eastAsia="zh-CN" w:bidi="ar-SA"/>
        </w:rPr>
        <w:t>加强“双创”教育课程体系建设</w:t>
      </w:r>
      <w:r>
        <w:rPr>
          <w:rFonts w:hint="eastAsia" w:ascii="仿宋" w:hAnsi="仿宋" w:eastAsia="仿宋" w:cs="仿宋"/>
          <w:b w:val="0"/>
          <w:bCs/>
          <w:color w:val="000000" w:themeColor="text1"/>
          <w:kern w:val="2"/>
          <w:sz w:val="30"/>
          <w:szCs w:val="30"/>
          <w:u w:val="none"/>
          <w:lang w:val="en-US" w:eastAsia="zh-CN" w:bidi="ar-SA"/>
          <w14:textFill>
            <w14:solidFill>
              <w14:schemeClr w14:val="tx1"/>
            </w14:solidFill>
          </w14:textFill>
        </w:rPr>
        <w:t>，引进和研发一批创新创业教育在线课程，开设不少于10 门创新创业类课程；加强创新创业教育师资队伍建设，</w:t>
      </w:r>
      <w:r>
        <w:rPr>
          <w:rFonts w:hint="eastAsia" w:ascii="仿宋" w:hAnsi="仿宋" w:eastAsia="仿宋" w:cs="仿宋"/>
          <w:b w:val="0"/>
          <w:bCs/>
          <w:color w:val="FF0000"/>
          <w:kern w:val="2"/>
          <w:sz w:val="30"/>
          <w:szCs w:val="30"/>
          <w:u w:val="none"/>
          <w:lang w:val="en-US" w:eastAsia="zh-CN" w:bidi="ar-SA"/>
        </w:rPr>
        <w:t>提高学生创新创业指导服务水平</w:t>
      </w:r>
      <w:r>
        <w:rPr>
          <w:rFonts w:hint="eastAsia" w:ascii="仿宋" w:hAnsi="仿宋" w:eastAsia="仿宋" w:cs="仿宋"/>
          <w:b w:val="0"/>
          <w:bCs/>
          <w:color w:val="000000" w:themeColor="text1"/>
          <w:kern w:val="2"/>
          <w:sz w:val="30"/>
          <w:szCs w:val="30"/>
          <w:u w:val="none"/>
          <w:lang w:val="en-US" w:eastAsia="zh-CN" w:bidi="ar-SA"/>
          <w14:textFill>
            <w14:solidFill>
              <w14:schemeClr w14:val="tx1"/>
            </w14:solidFill>
          </w14:textFill>
        </w:rPr>
        <w:t>；发挥“互联网+”大赛引领推动作用，</w:t>
      </w:r>
      <w:r>
        <w:rPr>
          <w:rFonts w:hint="eastAsia" w:ascii="仿宋" w:hAnsi="仿宋" w:eastAsia="仿宋" w:cs="仿宋"/>
          <w:b w:val="0"/>
          <w:bCs/>
          <w:color w:val="FF0000"/>
          <w:kern w:val="2"/>
          <w:sz w:val="30"/>
          <w:szCs w:val="30"/>
          <w:u w:val="none"/>
          <w:lang w:val="en-US" w:eastAsia="zh-CN" w:bidi="ar-SA"/>
        </w:rPr>
        <w:t>“以赛促学”、“以赛促教”</w:t>
      </w:r>
      <w:r>
        <w:rPr>
          <w:rFonts w:hint="eastAsia" w:ascii="仿宋" w:hAnsi="仿宋" w:eastAsia="仿宋" w:cs="仿宋"/>
          <w:b w:val="0"/>
          <w:bCs/>
          <w:color w:val="000000" w:themeColor="text1"/>
          <w:kern w:val="2"/>
          <w:sz w:val="30"/>
          <w:szCs w:val="30"/>
          <w:u w:val="none"/>
          <w:lang w:val="en-US" w:eastAsia="zh-CN" w:bidi="ar-SA"/>
          <w14:textFill>
            <w14:solidFill>
              <w14:schemeClr w14:val="tx1"/>
            </w14:solidFill>
          </w14:textFill>
        </w:rPr>
        <w:t xml:space="preserve">，提升创新创业教育水平。落实创新创业教育主体责任，建立和完善教学管理部门和双创中心牵头，学生工作部门和学院齐抓共管、协同发力的创新创业教育工作新机制。  </w:t>
      </w:r>
      <w:r>
        <w:rPr>
          <w:rFonts w:hint="eastAsia" w:ascii="仿宋" w:hAnsi="仿宋" w:eastAsia="仿宋" w:cs="仿宋"/>
          <w:color w:val="000000" w:themeColor="text1"/>
          <w:kern w:val="0"/>
          <w:sz w:val="30"/>
          <w:szCs w:val="30"/>
          <w:u w:val="none"/>
          <w:lang w:val="en-US" w:eastAsia="zh-CN" w:bidi="ar"/>
          <w14:textFill>
            <w14:solidFill>
              <w14:schemeClr w14:val="tx1"/>
            </w14:solidFill>
          </w14:textFill>
        </w:rPr>
        <w:t xml:space="preserve"> </w:t>
      </w:r>
    </w:p>
    <w:p>
      <w:pPr>
        <w:keepNext w:val="0"/>
        <w:keepLines w:val="0"/>
        <w:pageBreakBefore w:val="0"/>
        <w:widowControl/>
        <w:suppressLineNumbers w:val="0"/>
        <w:kinsoku/>
        <w:wordWrap/>
        <w:overflowPunct/>
        <w:topLinePunct w:val="0"/>
        <w:autoSpaceDE/>
        <w:autoSpaceDN/>
        <w:bidi w:val="0"/>
        <w:adjustRightInd/>
        <w:snapToGrid/>
        <w:spacing w:line="520" w:lineRule="exact"/>
        <w:ind w:left="0" w:leftChars="0" w:firstLine="576"/>
        <w:jc w:val="both"/>
        <w:textAlignment w:val="auto"/>
        <w:outlineLvl w:val="2"/>
        <w:rPr>
          <w:rFonts w:hint="eastAsia" w:ascii="仿宋" w:hAnsi="仿宋" w:eastAsia="仿宋" w:cs="仿宋"/>
          <w:b/>
          <w:bCs/>
          <w:color w:val="FF0000"/>
          <w:kern w:val="2"/>
          <w:sz w:val="30"/>
          <w:szCs w:val="30"/>
          <w:u w:val="none"/>
          <w:lang w:val="en-US" w:eastAsia="zh-CN" w:bidi="zh-CN"/>
        </w:rPr>
      </w:pPr>
      <w:r>
        <w:rPr>
          <w:rFonts w:hint="eastAsia" w:ascii="仿宋" w:hAnsi="仿宋" w:eastAsia="仿宋" w:cs="仿宋"/>
          <w:b/>
          <w:bCs/>
          <w:color w:val="000000" w:themeColor="text1"/>
          <w:kern w:val="2"/>
          <w:sz w:val="30"/>
          <w:szCs w:val="30"/>
          <w:u w:val="none"/>
          <w:lang w:val="en-US" w:eastAsia="zh-CN" w:bidi="zh-CN"/>
          <w14:textFill>
            <w14:solidFill>
              <w14:schemeClr w14:val="tx1"/>
            </w14:solidFill>
          </w14:textFill>
        </w:rPr>
        <w:t xml:space="preserve"> </w:t>
      </w:r>
      <w:bookmarkStart w:id="76" w:name="_Toc21783"/>
      <w:r>
        <w:rPr>
          <w:rFonts w:hint="eastAsia" w:ascii="仿宋" w:hAnsi="仿宋" w:eastAsia="仿宋" w:cs="仿宋"/>
          <w:b/>
          <w:bCs/>
          <w:color w:val="000000" w:themeColor="text1"/>
          <w:kern w:val="2"/>
          <w:sz w:val="30"/>
          <w:szCs w:val="30"/>
          <w:u w:val="none"/>
          <w:lang w:val="en-US" w:eastAsia="zh-CN" w:bidi="zh-CN"/>
          <w14:textFill>
            <w14:solidFill>
              <w14:schemeClr w14:val="tx1"/>
            </w14:solidFill>
          </w14:textFill>
        </w:rPr>
        <w:t>4.优化教育资源配置，</w:t>
      </w:r>
      <w:r>
        <w:rPr>
          <w:rFonts w:hint="eastAsia" w:ascii="仿宋" w:hAnsi="仿宋" w:eastAsia="仿宋" w:cs="仿宋"/>
          <w:b/>
          <w:bCs/>
          <w:color w:val="FF0000"/>
          <w:kern w:val="2"/>
          <w:sz w:val="30"/>
          <w:szCs w:val="30"/>
          <w:u w:val="none"/>
          <w:lang w:val="en-US" w:eastAsia="zh-CN" w:bidi="zh-CN"/>
        </w:rPr>
        <w:t>构建实践教学新体制</w:t>
      </w:r>
      <w:bookmarkEnd w:id="76"/>
    </w:p>
    <w:p>
      <w:pPr>
        <w:keepNext w:val="0"/>
        <w:keepLines w:val="0"/>
        <w:pageBreakBefore w:val="0"/>
        <w:widowControl/>
        <w:suppressLineNumbers w:val="0"/>
        <w:kinsoku/>
        <w:wordWrap/>
        <w:overflowPunct/>
        <w:topLinePunct w:val="0"/>
        <w:autoSpaceDE/>
        <w:autoSpaceDN/>
        <w:bidi w:val="0"/>
        <w:adjustRightInd/>
        <w:snapToGrid/>
        <w:spacing w:line="520" w:lineRule="exact"/>
        <w:ind w:left="0" w:leftChars="0" w:firstLine="600" w:firstLineChars="200"/>
        <w:jc w:val="both"/>
        <w:textAlignment w:val="auto"/>
        <w:rPr>
          <w:rFonts w:hint="eastAsia" w:ascii="仿宋" w:hAnsi="仿宋" w:eastAsia="仿宋" w:cs="仿宋"/>
          <w:b w:val="0"/>
          <w:bCs w:val="0"/>
          <w:color w:val="000000" w:themeColor="text1"/>
          <w:kern w:val="0"/>
          <w:sz w:val="30"/>
          <w:szCs w:val="30"/>
          <w:u w:val="none"/>
          <w:lang w:val="en-US" w:eastAsia="zh-CN" w:bidi="ar"/>
          <w14:textFill>
            <w14:solidFill>
              <w14:schemeClr w14:val="tx1"/>
            </w14:solidFill>
          </w14:textFill>
        </w:rPr>
      </w:pPr>
      <w:r>
        <w:rPr>
          <w:rFonts w:hint="eastAsia" w:ascii="仿宋" w:hAnsi="仿宋" w:eastAsia="仿宋" w:cs="仿宋"/>
          <w:color w:val="000000" w:themeColor="text1"/>
          <w:kern w:val="0"/>
          <w:sz w:val="30"/>
          <w:szCs w:val="30"/>
          <w:u w:val="none"/>
          <w:lang w:val="en-US" w:eastAsia="zh-CN" w:bidi="ar"/>
          <w14:textFill>
            <w14:solidFill>
              <w14:schemeClr w14:val="tx1"/>
            </w14:solidFill>
          </w14:textFill>
        </w:rPr>
        <w:t>以提高学生实践能力为导向，不断完善实践教学体系，改进实践教学内容和教学方法，探索与人才培养目标相适应的实践教学模式。加强公共基础实验室条件建设，重点</w:t>
      </w:r>
      <w:r>
        <w:rPr>
          <w:rFonts w:hint="eastAsia" w:ascii="仿宋" w:hAnsi="仿宋" w:eastAsia="仿宋" w:cs="仿宋"/>
          <w:color w:val="000000" w:themeColor="text1"/>
          <w:kern w:val="0"/>
          <w:sz w:val="30"/>
          <w:szCs w:val="30"/>
          <w:u w:val="none"/>
          <w:lang w:eastAsia="zh-CN" w:bidi="ar"/>
          <w14:textFill>
            <w14:solidFill>
              <w14:schemeClr w14:val="tx1"/>
            </w14:solidFill>
          </w14:textFill>
        </w:rPr>
        <w:t>加强</w:t>
      </w:r>
      <w:r>
        <w:rPr>
          <w:rFonts w:hint="eastAsia" w:ascii="仿宋" w:hAnsi="仿宋" w:eastAsia="仿宋" w:cs="仿宋"/>
          <w:color w:val="000000" w:themeColor="text1"/>
          <w:kern w:val="0"/>
          <w:sz w:val="30"/>
          <w:szCs w:val="30"/>
          <w:u w:val="none"/>
          <w:lang w:val="en-US" w:eastAsia="zh-CN" w:bidi="ar"/>
          <w14:textFill>
            <w14:solidFill>
              <w14:schemeClr w14:val="tx1"/>
            </w14:solidFill>
          </w14:textFill>
        </w:rPr>
        <w:t>省级、国家级实验教学中心、虚拟仿真教学中心建设；整合各学院内外实习资源，强化实习</w:t>
      </w:r>
      <w:r>
        <w:rPr>
          <w:rFonts w:hint="eastAsia" w:ascii="仿宋" w:hAnsi="仿宋" w:eastAsia="仿宋" w:cs="仿宋"/>
          <w:b w:val="0"/>
          <w:bCs w:val="0"/>
          <w:color w:val="000000" w:themeColor="text1"/>
          <w:kern w:val="0"/>
          <w:sz w:val="30"/>
          <w:szCs w:val="30"/>
          <w:u w:val="none"/>
          <w:lang w:val="en-US" w:eastAsia="zh-CN" w:bidi="ar"/>
          <w14:textFill>
            <w14:solidFill>
              <w14:schemeClr w14:val="tx1"/>
            </w14:solidFill>
          </w14:textFill>
        </w:rPr>
        <w:t>实训基地建设，与行业部门、兄弟院校、龙头企业等合作建设农林类校外实践教学示范基地，</w:t>
      </w:r>
      <w:r>
        <w:rPr>
          <w:rFonts w:hint="eastAsia" w:ascii="仿宋" w:hAnsi="仿宋" w:eastAsia="仿宋" w:cs="仿宋"/>
          <w:b w:val="0"/>
          <w:bCs w:val="0"/>
          <w:color w:val="000000" w:themeColor="text1"/>
          <w:kern w:val="0"/>
          <w:sz w:val="30"/>
          <w:szCs w:val="30"/>
          <w:u w:val="none"/>
          <w:lang w:eastAsia="zh-CN" w:bidi="ar"/>
          <w14:textFill>
            <w14:solidFill>
              <w14:schemeClr w14:val="tx1"/>
            </w14:solidFill>
          </w14:textFill>
        </w:rPr>
        <w:t>确保</w:t>
      </w:r>
      <w:r>
        <w:rPr>
          <w:rFonts w:hint="eastAsia" w:ascii="仿宋" w:hAnsi="仿宋" w:eastAsia="仿宋" w:cs="仿宋"/>
          <w:b w:val="0"/>
          <w:bCs w:val="0"/>
          <w:color w:val="000000" w:themeColor="text1"/>
          <w:kern w:val="0"/>
          <w:sz w:val="30"/>
          <w:szCs w:val="30"/>
          <w:u w:val="none"/>
          <w:lang w:val="en-US" w:eastAsia="zh-CN" w:bidi="ar"/>
          <w14:textFill>
            <w14:solidFill>
              <w14:schemeClr w14:val="tx1"/>
            </w14:solidFill>
          </w14:textFill>
        </w:rPr>
        <w:t>每个本科专业建有稳定的校外实习实训基地5个以上；充分发挥实践育人功能，着力培养学生知农、爱农、为农素养。优先建设各专业实验教学急需实验室和综合实习基地；充分利用校内外资源，充实和完善创新创业教育实践平台。</w:t>
      </w:r>
    </w:p>
    <w:p>
      <w:pPr>
        <w:pStyle w:val="16"/>
        <w:keepNext w:val="0"/>
        <w:keepLines w:val="0"/>
        <w:pageBreakBefore w:val="0"/>
        <w:numPr>
          <w:ilvl w:val="0"/>
          <w:numId w:val="0"/>
        </w:numPr>
        <w:tabs>
          <w:tab w:val="left" w:pos="1560"/>
        </w:tabs>
        <w:kinsoku/>
        <w:wordWrap/>
        <w:overflowPunct/>
        <w:topLinePunct w:val="0"/>
        <w:autoSpaceDE/>
        <w:autoSpaceDN/>
        <w:bidi w:val="0"/>
        <w:adjustRightInd/>
        <w:snapToGrid/>
        <w:spacing w:before="0" w:beforeAutospacing="0" w:afterAutospacing="0" w:line="520" w:lineRule="exact"/>
        <w:ind w:left="0" w:leftChars="0" w:right="0" w:rightChars="0" w:firstLine="602" w:firstLineChars="200"/>
        <w:jc w:val="both"/>
        <w:textAlignment w:val="auto"/>
        <w:outlineLvl w:val="2"/>
        <w:rPr>
          <w:rFonts w:hint="eastAsia" w:ascii="仿宋" w:hAnsi="仿宋" w:eastAsia="仿宋" w:cs="仿宋"/>
          <w:b/>
          <w:color w:val="000000" w:themeColor="text1"/>
          <w:sz w:val="30"/>
          <w:szCs w:val="30"/>
          <w:u w:val="none"/>
          <w14:textFill>
            <w14:solidFill>
              <w14:schemeClr w14:val="tx1"/>
            </w14:solidFill>
          </w14:textFill>
        </w:rPr>
      </w:pPr>
      <w:bookmarkStart w:id="77" w:name="_Toc23046"/>
      <w:r>
        <w:rPr>
          <w:rFonts w:hint="eastAsia" w:ascii="仿宋" w:hAnsi="仿宋" w:eastAsia="仿宋" w:cs="仿宋"/>
          <w:b/>
          <w:color w:val="000000" w:themeColor="text1"/>
          <w:sz w:val="30"/>
          <w:szCs w:val="30"/>
          <w:u w:val="none"/>
          <w:lang w:val="en-US" w:eastAsia="zh-CN"/>
          <w14:textFill>
            <w14:solidFill>
              <w14:schemeClr w14:val="tx1"/>
            </w14:solidFill>
          </w14:textFill>
        </w:rPr>
        <w:t>5.</w:t>
      </w:r>
      <w:r>
        <w:rPr>
          <w:rFonts w:hint="eastAsia" w:ascii="仿宋" w:hAnsi="仿宋" w:eastAsia="仿宋" w:cs="仿宋"/>
          <w:b/>
          <w:color w:val="000000" w:themeColor="text1"/>
          <w:sz w:val="30"/>
          <w:szCs w:val="30"/>
          <w:u w:val="none"/>
          <w14:textFill>
            <w14:solidFill>
              <w14:schemeClr w14:val="tx1"/>
            </w14:solidFill>
          </w14:textFill>
        </w:rPr>
        <w:t>健全</w:t>
      </w:r>
      <w:r>
        <w:rPr>
          <w:rFonts w:hint="eastAsia" w:ascii="仿宋" w:hAnsi="仿宋" w:eastAsia="仿宋" w:cs="仿宋"/>
          <w:b/>
          <w:color w:val="auto"/>
          <w:sz w:val="30"/>
          <w:szCs w:val="30"/>
          <w:u w:val="none"/>
          <w:lang w:eastAsia="zh-CN"/>
        </w:rPr>
        <w:t>立德树人机制</w:t>
      </w:r>
      <w:r>
        <w:rPr>
          <w:rFonts w:hint="eastAsia" w:ascii="仿宋" w:hAnsi="仿宋" w:eastAsia="仿宋" w:cs="仿宋"/>
          <w:b/>
          <w:color w:val="auto"/>
          <w:sz w:val="30"/>
          <w:szCs w:val="30"/>
          <w:u w:val="none"/>
        </w:rPr>
        <w:t>，</w:t>
      </w:r>
      <w:r>
        <w:rPr>
          <w:rFonts w:hint="eastAsia" w:cs="仿宋"/>
          <w:b/>
          <w:color w:val="FF0000"/>
          <w:sz w:val="30"/>
          <w:szCs w:val="30"/>
          <w:u w:val="none"/>
          <w:lang w:eastAsia="zh-CN"/>
        </w:rPr>
        <w:t>建设育人质量新文化</w:t>
      </w:r>
      <w:bookmarkEnd w:id="77"/>
    </w:p>
    <w:p>
      <w:pPr>
        <w:keepNext w:val="0"/>
        <w:keepLines w:val="0"/>
        <w:pageBreakBefore w:val="0"/>
        <w:widowControl/>
        <w:suppressLineNumbers w:val="0"/>
        <w:kinsoku/>
        <w:wordWrap/>
        <w:overflowPunct/>
        <w:topLinePunct w:val="0"/>
        <w:autoSpaceDE/>
        <w:autoSpaceDN/>
        <w:bidi w:val="0"/>
        <w:adjustRightInd/>
        <w:snapToGrid/>
        <w:spacing w:line="520" w:lineRule="exact"/>
        <w:ind w:left="0" w:leftChars="0" w:firstLine="600" w:firstLineChars="200"/>
        <w:jc w:val="both"/>
        <w:textAlignment w:val="auto"/>
        <w:rPr>
          <w:rFonts w:hint="eastAsia" w:ascii="仿宋" w:hAnsi="仿宋" w:eastAsia="仿宋" w:cs="仿宋"/>
          <w:color w:val="000000" w:themeColor="text1"/>
          <w:kern w:val="0"/>
          <w:sz w:val="30"/>
          <w:szCs w:val="30"/>
          <w:u w:val="none"/>
          <w:lang w:val="en-US" w:eastAsia="zh-CN" w:bidi="ar"/>
          <w14:textFill>
            <w14:solidFill>
              <w14:schemeClr w14:val="tx1"/>
            </w14:solidFill>
          </w14:textFill>
        </w:rPr>
      </w:pPr>
      <w:r>
        <w:rPr>
          <w:rFonts w:hint="eastAsia" w:ascii="仿宋" w:hAnsi="仿宋" w:eastAsia="仿宋" w:cs="仿宋"/>
          <w:b w:val="0"/>
          <w:bCs/>
          <w:color w:val="000000" w:themeColor="text1"/>
          <w:kern w:val="2"/>
          <w:sz w:val="30"/>
          <w:szCs w:val="30"/>
          <w:u w:val="none"/>
          <w:lang w:val="en-US" w:eastAsia="zh-CN" w:bidi="ar-SA"/>
          <w14:textFill>
            <w14:solidFill>
              <w14:schemeClr w14:val="tx1"/>
            </w14:solidFill>
          </w14:textFill>
        </w:rPr>
        <w:t>打造以提高应用型人才培养水平为核心的质量文化，完善教学督导评估机制，健全教学质量保障体系，发挥基层教研室作用，强化学院教学质量管理。按照国家《深化新时代教育评价改革总体方案》要求</w:t>
      </w:r>
      <w:r>
        <w:rPr>
          <w:rFonts w:hint="eastAsia" w:ascii="仿宋" w:hAnsi="仿宋" w:eastAsia="仿宋" w:cs="仿宋"/>
          <w:b w:val="0"/>
          <w:bCs/>
          <w:color w:val="auto"/>
          <w:kern w:val="2"/>
          <w:sz w:val="30"/>
          <w:szCs w:val="30"/>
          <w:u w:val="none"/>
          <w:lang w:val="en-US" w:eastAsia="zh-CN" w:bidi="ar-SA"/>
        </w:rPr>
        <w:t>，建立破立并举的新型评价体系</w:t>
      </w:r>
      <w:r>
        <w:rPr>
          <w:rFonts w:hint="eastAsia" w:ascii="仿宋" w:hAnsi="仿宋" w:eastAsia="仿宋" w:cs="仿宋"/>
          <w:b w:val="0"/>
          <w:bCs/>
          <w:color w:val="FF0000"/>
          <w:kern w:val="2"/>
          <w:sz w:val="30"/>
          <w:szCs w:val="30"/>
          <w:u w:val="none"/>
          <w:lang w:val="en-US" w:eastAsia="zh-CN" w:bidi="ar-SA"/>
        </w:rPr>
        <w:t>。</w:t>
      </w:r>
      <w:r>
        <w:rPr>
          <w:rFonts w:hint="eastAsia" w:ascii="仿宋" w:hAnsi="仿宋" w:eastAsia="仿宋" w:cs="仿宋"/>
          <w:b w:val="0"/>
          <w:bCs/>
          <w:color w:val="000000" w:themeColor="text1"/>
          <w:kern w:val="2"/>
          <w:sz w:val="30"/>
          <w:szCs w:val="30"/>
          <w:u w:val="none"/>
          <w:lang w:val="en-US" w:eastAsia="zh-CN" w:bidi="ar-SA"/>
          <w14:textFill>
            <w14:solidFill>
              <w14:schemeClr w14:val="tx1"/>
            </w14:solidFill>
          </w14:textFill>
        </w:rPr>
        <w:t>修订完</w:t>
      </w:r>
      <w:r>
        <w:rPr>
          <w:rFonts w:hint="eastAsia" w:ascii="仿宋" w:hAnsi="仿宋" w:eastAsia="仿宋" w:cs="仿宋"/>
          <w:color w:val="000000" w:themeColor="text1"/>
          <w:kern w:val="0"/>
          <w:sz w:val="30"/>
          <w:szCs w:val="30"/>
          <w:u w:val="none"/>
          <w:lang w:val="en-US" w:eastAsia="zh-CN" w:bidi="ar"/>
          <w14:textFill>
            <w14:solidFill>
              <w14:schemeClr w14:val="tx1"/>
            </w14:solidFill>
          </w14:textFill>
        </w:rPr>
        <w:t>善教育教学奖励政策，重点加大对教师育人能力和实践能力的评价与考核力度。实施教师分类评价管理和分类评价办法，构建以教学过程评价和</w:t>
      </w:r>
      <w:r>
        <w:rPr>
          <w:rFonts w:hint="eastAsia" w:ascii="仿宋" w:hAnsi="仿宋" w:eastAsia="仿宋" w:cs="仿宋"/>
          <w:color w:val="FF0000"/>
          <w:kern w:val="0"/>
          <w:sz w:val="30"/>
          <w:szCs w:val="30"/>
          <w:u w:val="none"/>
          <w:lang w:val="en-US" w:eastAsia="zh-CN" w:bidi="ar"/>
        </w:rPr>
        <w:t>育人</w:t>
      </w:r>
      <w:r>
        <w:rPr>
          <w:rFonts w:hint="eastAsia" w:ascii="仿宋" w:hAnsi="仿宋" w:eastAsia="仿宋" w:cs="仿宋"/>
          <w:color w:val="000000" w:themeColor="text1"/>
          <w:kern w:val="0"/>
          <w:sz w:val="30"/>
          <w:szCs w:val="30"/>
          <w:u w:val="none"/>
          <w:lang w:val="en-US" w:eastAsia="zh-CN" w:bidi="ar"/>
          <w14:textFill>
            <w14:solidFill>
              <w14:schemeClr w14:val="tx1"/>
            </w14:solidFill>
          </w14:textFill>
        </w:rPr>
        <w:t>效果评价为主要目标、多维度评价相结合的综合评价体系。开展由政府、学校、家长及行业、企业等多方参与的人才培养质量第三方评价活动，建立人才培养质量跟踪与完善制度。</w:t>
      </w:r>
    </w:p>
    <w:p>
      <w:pPr>
        <w:keepNext w:val="0"/>
        <w:keepLines w:val="0"/>
        <w:pageBreakBefore w:val="0"/>
        <w:widowControl/>
        <w:suppressLineNumbers w:val="0"/>
        <w:kinsoku/>
        <w:wordWrap/>
        <w:overflowPunct/>
        <w:topLinePunct w:val="0"/>
        <w:autoSpaceDE/>
        <w:autoSpaceDN/>
        <w:bidi w:val="0"/>
        <w:adjustRightInd/>
        <w:snapToGrid/>
        <w:spacing w:line="520" w:lineRule="exact"/>
        <w:ind w:left="0" w:leftChars="0"/>
        <w:jc w:val="both"/>
        <w:textAlignment w:val="auto"/>
        <w:outlineLvl w:val="1"/>
        <w:rPr>
          <w:rFonts w:hint="eastAsia" w:ascii="仿宋" w:hAnsi="仿宋" w:eastAsia="仿宋" w:cs="仿宋"/>
          <w:b/>
          <w:bCs/>
          <w:color w:val="FF0000"/>
          <w:kern w:val="0"/>
          <w:sz w:val="30"/>
          <w:szCs w:val="30"/>
          <w:u w:val="none"/>
          <w:lang w:val="en-US" w:eastAsia="zh-CN" w:bidi="ar"/>
        </w:rPr>
      </w:pPr>
      <w:r>
        <w:rPr>
          <w:rFonts w:hint="eastAsia" w:ascii="仿宋" w:hAnsi="仿宋" w:eastAsia="仿宋" w:cs="仿宋"/>
          <w:color w:val="000000" w:themeColor="text1"/>
          <w:kern w:val="0"/>
          <w:sz w:val="30"/>
          <w:szCs w:val="30"/>
          <w:u w:val="none"/>
          <w:lang w:val="en-US" w:eastAsia="zh-CN" w:bidi="ar"/>
          <w14:textFill>
            <w14:solidFill>
              <w14:schemeClr w14:val="tx1"/>
            </w14:solidFill>
          </w14:textFill>
        </w:rPr>
        <w:t xml:space="preserve"> </w:t>
      </w:r>
      <w:r>
        <w:rPr>
          <w:rFonts w:hint="eastAsia" w:ascii="仿宋" w:hAnsi="仿宋" w:eastAsia="仿宋" w:cs="仿宋"/>
          <w:b/>
          <w:bCs/>
          <w:color w:val="000000" w:themeColor="text1"/>
          <w:kern w:val="0"/>
          <w:sz w:val="30"/>
          <w:szCs w:val="30"/>
          <w:u w:val="none"/>
          <w:lang w:val="en-US" w:eastAsia="zh-CN" w:bidi="ar"/>
          <w14:textFill>
            <w14:solidFill>
              <w14:schemeClr w14:val="tx1"/>
            </w14:solidFill>
          </w14:textFill>
        </w:rPr>
        <w:t xml:space="preserve">  </w:t>
      </w:r>
      <w:bookmarkStart w:id="78" w:name="_Toc8803"/>
      <w:r>
        <w:rPr>
          <w:rFonts w:hint="eastAsia" w:ascii="仿宋" w:hAnsi="仿宋" w:eastAsia="仿宋" w:cs="仿宋"/>
          <w:b/>
          <w:bCs/>
          <w:color w:val="000000" w:themeColor="text1"/>
          <w:kern w:val="0"/>
          <w:sz w:val="30"/>
          <w:szCs w:val="30"/>
          <w:u w:val="none"/>
          <w:lang w:val="en-US" w:eastAsia="zh-CN" w:bidi="ar"/>
          <w14:textFill>
            <w14:solidFill>
              <w14:schemeClr w14:val="tx1"/>
            </w14:solidFill>
          </w14:textFill>
        </w:rPr>
        <w:t>（五）</w:t>
      </w:r>
      <w:r>
        <w:rPr>
          <w:rFonts w:hint="eastAsia" w:ascii="仿宋" w:hAnsi="仿宋" w:eastAsia="仿宋" w:cs="仿宋"/>
          <w:b/>
          <w:bCs/>
          <w:color w:val="FF0000"/>
          <w:kern w:val="0"/>
          <w:sz w:val="30"/>
          <w:szCs w:val="30"/>
          <w:u w:val="none"/>
          <w:lang w:val="en-US" w:eastAsia="zh-CN" w:bidi="ar"/>
        </w:rPr>
        <w:t>以完善引人用人机制为关键，打造高水平人才队伍建设新高地</w:t>
      </w:r>
      <w:bookmarkEnd w:id="78"/>
    </w:p>
    <w:p>
      <w:pPr>
        <w:pStyle w:val="4"/>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20" w:lineRule="exact"/>
        <w:ind w:left="0" w:leftChars="0" w:right="0" w:firstLine="602" w:firstLineChars="200"/>
        <w:jc w:val="both"/>
        <w:textAlignment w:val="auto"/>
        <w:outlineLvl w:val="2"/>
        <w:rPr>
          <w:rFonts w:hint="eastAsia" w:ascii="仿宋" w:hAnsi="仿宋" w:eastAsia="仿宋" w:cs="仿宋"/>
          <w:b/>
          <w:bCs/>
          <w:color w:val="000000" w:themeColor="text1"/>
          <w:kern w:val="0"/>
          <w:sz w:val="30"/>
          <w:szCs w:val="30"/>
          <w:u w:val="none"/>
          <w:lang w:eastAsia="zh-CN" w:bidi="ar"/>
          <w14:textFill>
            <w14:solidFill>
              <w14:schemeClr w14:val="tx1"/>
            </w14:solidFill>
          </w14:textFill>
        </w:rPr>
      </w:pPr>
      <w:bookmarkStart w:id="79" w:name="_Toc30913"/>
      <w:r>
        <w:rPr>
          <w:rFonts w:hint="eastAsia" w:ascii="仿宋" w:hAnsi="仿宋" w:eastAsia="仿宋" w:cs="仿宋"/>
          <w:b/>
          <w:bCs/>
          <w:color w:val="000000" w:themeColor="text1"/>
          <w:kern w:val="0"/>
          <w:sz w:val="30"/>
          <w:szCs w:val="30"/>
          <w:u w:val="none"/>
          <w:lang w:val="en-US" w:eastAsia="zh-CN" w:bidi="ar"/>
          <w14:textFill>
            <w14:solidFill>
              <w14:schemeClr w14:val="tx1"/>
            </w14:solidFill>
          </w14:textFill>
        </w:rPr>
        <w:t>1.</w:t>
      </w:r>
      <w:r>
        <w:rPr>
          <w:rFonts w:hint="eastAsia" w:ascii="仿宋" w:hAnsi="仿宋" w:eastAsia="仿宋" w:cs="仿宋"/>
          <w:b/>
          <w:bCs/>
          <w:color w:val="000000" w:themeColor="text1"/>
          <w:kern w:val="0"/>
          <w:sz w:val="30"/>
          <w:szCs w:val="30"/>
          <w:u w:val="none"/>
          <w:lang w:eastAsia="zh-CN" w:bidi="ar"/>
          <w14:textFill>
            <w14:solidFill>
              <w14:schemeClr w14:val="tx1"/>
            </w14:solidFill>
          </w14:textFill>
        </w:rPr>
        <w:t>坚持</w:t>
      </w:r>
      <w:r>
        <w:rPr>
          <w:rFonts w:hint="eastAsia" w:ascii="仿宋" w:hAnsi="仿宋" w:eastAsia="仿宋" w:cs="仿宋"/>
          <w:b/>
          <w:bCs/>
          <w:color w:val="000000" w:themeColor="text1"/>
          <w:kern w:val="0"/>
          <w:sz w:val="30"/>
          <w:szCs w:val="30"/>
          <w:u w:val="none"/>
          <w:lang w:val="en-US" w:eastAsia="zh-CN" w:bidi="ar"/>
          <w14:textFill>
            <w14:solidFill>
              <w14:schemeClr w14:val="tx1"/>
            </w14:solidFill>
          </w14:textFill>
        </w:rPr>
        <w:t>引育并举，实施人才</w:t>
      </w:r>
      <w:r>
        <w:rPr>
          <w:rFonts w:hint="eastAsia" w:ascii="仿宋" w:hAnsi="仿宋" w:eastAsia="仿宋" w:cs="仿宋"/>
          <w:b/>
          <w:bCs/>
          <w:color w:val="000000" w:themeColor="text1"/>
          <w:kern w:val="0"/>
          <w:sz w:val="30"/>
          <w:szCs w:val="30"/>
          <w:u w:val="none"/>
          <w:lang w:eastAsia="zh-CN" w:bidi="ar"/>
          <w14:textFill>
            <w14:solidFill>
              <w14:schemeClr w14:val="tx1"/>
            </w14:solidFill>
          </w14:textFill>
        </w:rPr>
        <w:t>队伍</w:t>
      </w:r>
      <w:r>
        <w:rPr>
          <w:rFonts w:hint="eastAsia" w:ascii="仿宋" w:hAnsi="仿宋" w:eastAsia="仿宋" w:cs="仿宋"/>
          <w:b/>
          <w:bCs/>
          <w:color w:val="000000" w:themeColor="text1"/>
          <w:kern w:val="0"/>
          <w:sz w:val="30"/>
          <w:szCs w:val="30"/>
          <w:u w:val="none"/>
          <w:lang w:val="en-US" w:eastAsia="zh-CN" w:bidi="ar"/>
          <w14:textFill>
            <w14:solidFill>
              <w14:schemeClr w14:val="tx1"/>
            </w14:solidFill>
          </w14:textFill>
        </w:rPr>
        <w:t>质量提升</w:t>
      </w:r>
      <w:r>
        <w:rPr>
          <w:rFonts w:hint="eastAsia" w:ascii="仿宋" w:hAnsi="仿宋" w:eastAsia="仿宋" w:cs="仿宋"/>
          <w:b/>
          <w:bCs/>
          <w:color w:val="000000" w:themeColor="text1"/>
          <w:kern w:val="0"/>
          <w:sz w:val="30"/>
          <w:szCs w:val="30"/>
          <w:u w:val="none"/>
          <w:lang w:eastAsia="zh-CN" w:bidi="ar"/>
          <w14:textFill>
            <w14:solidFill>
              <w14:schemeClr w14:val="tx1"/>
            </w14:solidFill>
          </w14:textFill>
        </w:rPr>
        <w:t>工程</w:t>
      </w:r>
      <w:bookmarkEnd w:id="79"/>
    </w:p>
    <w:p>
      <w:pPr>
        <w:pStyle w:val="13"/>
        <w:keepNext w:val="0"/>
        <w:keepLines w:val="0"/>
        <w:pageBreakBefore w:val="0"/>
        <w:kinsoku/>
        <w:wordWrap/>
        <w:overflowPunct/>
        <w:topLinePunct w:val="0"/>
        <w:autoSpaceDE/>
        <w:autoSpaceDN/>
        <w:bidi w:val="0"/>
        <w:adjustRightInd/>
        <w:snapToGrid/>
        <w:spacing w:before="0" w:beforeAutospacing="0" w:after="0" w:afterAutospacing="0" w:line="520" w:lineRule="exact"/>
        <w:ind w:left="0" w:leftChars="0" w:firstLine="600" w:firstLineChars="200"/>
        <w:jc w:val="both"/>
        <w:textAlignment w:val="auto"/>
        <w:rPr>
          <w:rFonts w:hint="eastAsia" w:ascii="仿宋" w:hAnsi="仿宋" w:eastAsia="仿宋" w:cs="仿宋"/>
          <w:b w:val="0"/>
          <w:bCs w:val="0"/>
          <w:color w:val="000000" w:themeColor="text1"/>
          <w:kern w:val="0"/>
          <w:sz w:val="30"/>
          <w:szCs w:val="30"/>
          <w:u w:val="none"/>
          <w:lang w:val="en-US" w:eastAsia="zh-CN" w:bidi="ar"/>
          <w14:textFill>
            <w14:solidFill>
              <w14:schemeClr w14:val="tx1"/>
            </w14:solidFill>
          </w14:textFill>
        </w:rPr>
      </w:pPr>
      <w:r>
        <w:rPr>
          <w:rFonts w:hint="eastAsia" w:ascii="仿宋" w:hAnsi="仿宋" w:eastAsia="仿宋" w:cs="仿宋"/>
          <w:color w:val="000000" w:themeColor="text1"/>
          <w:kern w:val="0"/>
          <w:sz w:val="30"/>
          <w:szCs w:val="30"/>
          <w:u w:val="none"/>
          <w:lang w:val="en-US" w:eastAsia="zh-CN" w:bidi="ar"/>
          <w14:textFill>
            <w14:solidFill>
              <w14:schemeClr w14:val="tx1"/>
            </w14:solidFill>
          </w14:textFill>
        </w:rPr>
        <w:t>以构建一流人才队伍建设为目标，大力推进高层次人才引进和培育、教</w:t>
      </w:r>
      <w:r>
        <w:rPr>
          <w:rFonts w:hint="eastAsia" w:ascii="仿宋" w:hAnsi="仿宋" w:eastAsia="仿宋" w:cs="仿宋"/>
          <w:color w:val="000000" w:themeColor="text1"/>
          <w:kern w:val="0"/>
          <w:sz w:val="30"/>
          <w:szCs w:val="30"/>
          <w:u w:val="none"/>
          <w:lang w:eastAsia="zh-CN" w:bidi="ar"/>
          <w14:textFill>
            <w14:solidFill>
              <w14:schemeClr w14:val="tx1"/>
            </w14:solidFill>
          </w14:textFill>
        </w:rPr>
        <w:t>师育人</w:t>
      </w:r>
      <w:r>
        <w:rPr>
          <w:rFonts w:hint="eastAsia" w:ascii="仿宋" w:hAnsi="仿宋" w:eastAsia="仿宋" w:cs="仿宋"/>
          <w:color w:val="000000" w:themeColor="text1"/>
          <w:kern w:val="0"/>
          <w:sz w:val="30"/>
          <w:szCs w:val="30"/>
          <w:u w:val="none"/>
          <w:lang w:val="en-US" w:eastAsia="zh-CN" w:bidi="ar"/>
          <w14:textFill>
            <w14:solidFill>
              <w14:schemeClr w14:val="tx1"/>
            </w14:solidFill>
          </w14:textFill>
        </w:rPr>
        <w:t>水平提升两项计划</w:t>
      </w:r>
      <w:r>
        <w:rPr>
          <w:rFonts w:hint="eastAsia" w:ascii="仿宋" w:hAnsi="仿宋" w:eastAsia="仿宋" w:cs="仿宋"/>
          <w:color w:val="000000" w:themeColor="text1"/>
          <w:kern w:val="0"/>
          <w:sz w:val="30"/>
          <w:szCs w:val="30"/>
          <w:u w:val="none"/>
          <w:lang w:eastAsia="zh-CN" w:bidi="ar"/>
          <w14:textFill>
            <w14:solidFill>
              <w14:schemeClr w14:val="tx1"/>
            </w14:solidFill>
          </w14:textFill>
        </w:rPr>
        <w:t>。</w:t>
      </w:r>
      <w:r>
        <w:rPr>
          <w:rFonts w:hint="eastAsia" w:ascii="仿宋" w:hAnsi="仿宋" w:eastAsia="仿宋" w:cs="仿宋"/>
          <w:b/>
          <w:bCs/>
          <w:color w:val="000000" w:themeColor="text1"/>
          <w:kern w:val="0"/>
          <w:sz w:val="30"/>
          <w:szCs w:val="30"/>
          <w:u w:val="none"/>
          <w:lang w:val="en-US" w:eastAsia="zh-CN" w:bidi="ar"/>
          <w14:textFill>
            <w14:solidFill>
              <w14:schemeClr w14:val="tx1"/>
            </w14:solidFill>
          </w14:textFill>
        </w:rPr>
        <w:t>持续加大人才引进力度，</w:t>
      </w:r>
      <w:r>
        <w:rPr>
          <w:rFonts w:hint="eastAsia" w:ascii="仿宋" w:hAnsi="仿宋" w:eastAsia="仿宋" w:cs="仿宋"/>
          <w:color w:val="000000" w:themeColor="text1"/>
          <w:kern w:val="0"/>
          <w:sz w:val="30"/>
          <w:szCs w:val="30"/>
          <w:u w:val="none"/>
          <w:lang w:val="en-US" w:eastAsia="zh-CN" w:bidi="ar"/>
          <w14:textFill>
            <w14:solidFill>
              <w14:schemeClr w14:val="tx1"/>
            </w14:solidFill>
          </w14:textFill>
        </w:rPr>
        <w:t>吸引和激励高层次人才，力争引进和培养博士200名左右，培育一支拥有100名左右高层次学术技术带头人</w:t>
      </w:r>
      <w:r>
        <w:rPr>
          <w:rFonts w:hint="eastAsia" w:ascii="仿宋" w:hAnsi="仿宋" w:eastAsia="仿宋" w:cs="仿宋"/>
          <w:color w:val="000000" w:themeColor="text1"/>
          <w:kern w:val="0"/>
          <w:sz w:val="30"/>
          <w:szCs w:val="30"/>
          <w:u w:val="none"/>
          <w:lang w:eastAsia="zh-CN" w:bidi="ar"/>
          <w14:textFill>
            <w14:solidFill>
              <w14:schemeClr w14:val="tx1"/>
            </w14:solidFill>
          </w14:textFill>
        </w:rPr>
        <w:t>和</w:t>
      </w:r>
      <w:r>
        <w:rPr>
          <w:rFonts w:hint="eastAsia" w:ascii="仿宋" w:hAnsi="仿宋" w:eastAsia="仿宋" w:cs="仿宋"/>
          <w:b w:val="0"/>
          <w:bCs w:val="0"/>
          <w:color w:val="000000" w:themeColor="text1"/>
          <w:kern w:val="0"/>
          <w:sz w:val="30"/>
          <w:szCs w:val="30"/>
          <w:u w:val="none"/>
          <w:lang w:val="en-US" w:eastAsia="zh-CN" w:bidi="ar"/>
          <w14:textFill>
            <w14:solidFill>
              <w14:schemeClr w14:val="tx1"/>
            </w14:solidFill>
          </w14:textFill>
        </w:rPr>
        <w:t>领军人才、可支撑学校</w:t>
      </w:r>
      <w:r>
        <w:rPr>
          <w:rFonts w:hint="eastAsia" w:ascii="仿宋" w:hAnsi="仿宋" w:eastAsia="仿宋" w:cs="仿宋"/>
          <w:b w:val="0"/>
          <w:bCs w:val="0"/>
          <w:color w:val="000000" w:themeColor="text1"/>
          <w:kern w:val="0"/>
          <w:sz w:val="30"/>
          <w:szCs w:val="30"/>
          <w:u w:val="none"/>
          <w:lang w:eastAsia="zh-CN" w:bidi="ar"/>
          <w14:textFill>
            <w14:solidFill>
              <w14:schemeClr w14:val="tx1"/>
            </w14:solidFill>
          </w14:textFill>
        </w:rPr>
        <w:t>接续</w:t>
      </w:r>
      <w:r>
        <w:rPr>
          <w:rFonts w:hint="eastAsia" w:ascii="仿宋" w:hAnsi="仿宋" w:eastAsia="仿宋" w:cs="仿宋"/>
          <w:b w:val="0"/>
          <w:bCs w:val="0"/>
          <w:color w:val="000000" w:themeColor="text1"/>
          <w:kern w:val="0"/>
          <w:sz w:val="30"/>
          <w:szCs w:val="30"/>
          <w:u w:val="none"/>
          <w:lang w:val="en-US" w:eastAsia="zh-CN" w:bidi="ar"/>
          <w14:textFill>
            <w14:solidFill>
              <w14:schemeClr w14:val="tx1"/>
            </w14:solidFill>
          </w14:textFill>
        </w:rPr>
        <w:t>发展的年富力强</w:t>
      </w:r>
      <w:r>
        <w:rPr>
          <w:rFonts w:hint="eastAsia" w:ascii="仿宋" w:hAnsi="仿宋" w:eastAsia="仿宋" w:cs="仿宋"/>
          <w:b w:val="0"/>
          <w:bCs w:val="0"/>
          <w:color w:val="000000" w:themeColor="text1"/>
          <w:kern w:val="0"/>
          <w:sz w:val="30"/>
          <w:szCs w:val="30"/>
          <w:u w:val="none"/>
          <w:lang w:eastAsia="zh-CN" w:bidi="ar"/>
          <w14:textFill>
            <w14:solidFill>
              <w14:schemeClr w14:val="tx1"/>
            </w14:solidFill>
          </w14:textFill>
        </w:rPr>
        <w:t>的人才</w:t>
      </w:r>
      <w:r>
        <w:rPr>
          <w:rFonts w:hint="eastAsia" w:ascii="仿宋" w:hAnsi="仿宋" w:eastAsia="仿宋" w:cs="仿宋"/>
          <w:b w:val="0"/>
          <w:bCs w:val="0"/>
          <w:color w:val="000000" w:themeColor="text1"/>
          <w:kern w:val="0"/>
          <w:sz w:val="30"/>
          <w:szCs w:val="30"/>
          <w:u w:val="none"/>
          <w:lang w:val="en-US" w:eastAsia="zh-CN" w:bidi="ar"/>
          <w14:textFill>
            <w14:solidFill>
              <w14:schemeClr w14:val="tx1"/>
            </w14:solidFill>
          </w14:textFill>
        </w:rPr>
        <w:t>队伍。</w:t>
      </w:r>
      <w:r>
        <w:rPr>
          <w:rFonts w:hint="eastAsia" w:ascii="仿宋" w:hAnsi="仿宋" w:eastAsia="仿宋" w:cs="仿宋"/>
          <w:b/>
          <w:bCs/>
          <w:color w:val="000000" w:themeColor="text1"/>
          <w:kern w:val="0"/>
          <w:sz w:val="30"/>
          <w:szCs w:val="30"/>
          <w:u w:val="none"/>
          <w:lang w:val="en-US" w:eastAsia="zh-CN" w:bidi="ar"/>
          <w14:textFill>
            <w14:solidFill>
              <w14:schemeClr w14:val="tx1"/>
            </w14:solidFill>
          </w14:textFill>
        </w:rPr>
        <w:t>加强师德师风建设</w:t>
      </w:r>
      <w:r>
        <w:rPr>
          <w:rFonts w:hint="eastAsia" w:ascii="仿宋" w:hAnsi="仿宋" w:eastAsia="仿宋" w:cs="仿宋"/>
          <w:color w:val="000000" w:themeColor="text1"/>
          <w:kern w:val="0"/>
          <w:sz w:val="30"/>
          <w:szCs w:val="30"/>
          <w:u w:val="none"/>
          <w:lang w:val="en-US" w:eastAsia="zh-CN" w:bidi="ar"/>
          <w14:textFill>
            <w14:solidFill>
              <w14:schemeClr w14:val="tx1"/>
            </w14:solidFill>
          </w14:textFill>
        </w:rPr>
        <w:t>，建立健全教育、宣传、考核、监督与奖惩相结合的师德师风建设长效机制。</w:t>
      </w:r>
      <w:r>
        <w:rPr>
          <w:rFonts w:hint="eastAsia" w:ascii="仿宋" w:hAnsi="仿宋" w:eastAsia="仿宋" w:cs="仿宋"/>
          <w:b/>
          <w:bCs/>
          <w:color w:val="000000" w:themeColor="text1"/>
          <w:kern w:val="0"/>
          <w:sz w:val="30"/>
          <w:szCs w:val="30"/>
          <w:u w:val="none"/>
          <w:lang w:val="en-US" w:eastAsia="zh-CN" w:bidi="ar"/>
          <w14:textFill>
            <w14:solidFill>
              <w14:schemeClr w14:val="tx1"/>
            </w14:solidFill>
          </w14:textFill>
        </w:rPr>
        <w:t>着力培养具有较强教学能力的教学骨干</w:t>
      </w:r>
      <w:r>
        <w:rPr>
          <w:rFonts w:hint="eastAsia" w:ascii="仿宋" w:hAnsi="仿宋" w:eastAsia="仿宋" w:cs="仿宋"/>
          <w:b w:val="0"/>
          <w:bCs w:val="0"/>
          <w:color w:val="000000" w:themeColor="text1"/>
          <w:kern w:val="0"/>
          <w:sz w:val="30"/>
          <w:szCs w:val="30"/>
          <w:u w:val="none"/>
          <w:lang w:val="en-US" w:eastAsia="zh-CN" w:bidi="ar"/>
          <w14:textFill>
            <w14:solidFill>
              <w14:schemeClr w14:val="tx1"/>
            </w14:solidFill>
          </w14:textFill>
        </w:rPr>
        <w:t>，加大中青年教师培养力度，推进青年教师成长工程和培养计划，提升</w:t>
      </w:r>
      <w:r>
        <w:rPr>
          <w:rFonts w:hint="eastAsia" w:ascii="仿宋" w:hAnsi="仿宋" w:eastAsia="仿宋" w:cs="仿宋"/>
          <w:b w:val="0"/>
          <w:bCs w:val="0"/>
          <w:color w:val="000000" w:themeColor="text1"/>
          <w:kern w:val="0"/>
          <w:sz w:val="30"/>
          <w:szCs w:val="30"/>
          <w:u w:val="none"/>
          <w:lang w:eastAsia="zh-CN" w:bidi="ar"/>
          <w14:textFill>
            <w14:solidFill>
              <w14:schemeClr w14:val="tx1"/>
            </w14:solidFill>
          </w14:textFill>
        </w:rPr>
        <w:t>青年教师</w:t>
      </w:r>
      <w:r>
        <w:rPr>
          <w:rFonts w:hint="eastAsia" w:ascii="仿宋" w:hAnsi="仿宋" w:eastAsia="仿宋" w:cs="仿宋"/>
          <w:b w:val="0"/>
          <w:bCs w:val="0"/>
          <w:color w:val="000000" w:themeColor="text1"/>
          <w:kern w:val="0"/>
          <w:sz w:val="30"/>
          <w:szCs w:val="30"/>
          <w:u w:val="none"/>
          <w:lang w:val="en-US" w:eastAsia="zh-CN" w:bidi="ar"/>
          <w14:textFill>
            <w14:solidFill>
              <w14:schemeClr w14:val="tx1"/>
            </w14:solidFill>
          </w14:textFill>
        </w:rPr>
        <w:t>教学科研水平，探索构建校企、校地、校校联合的协同育人机制，打造校内外结合的高水平教学创新团队</w:t>
      </w:r>
      <w:r>
        <w:rPr>
          <w:rFonts w:hint="eastAsia" w:ascii="仿宋" w:hAnsi="仿宋" w:eastAsia="仿宋" w:cs="仿宋"/>
          <w:b/>
          <w:bCs/>
          <w:color w:val="000000" w:themeColor="text1"/>
          <w:kern w:val="0"/>
          <w:sz w:val="30"/>
          <w:szCs w:val="30"/>
          <w:u w:val="none"/>
          <w:lang w:val="en-US" w:eastAsia="zh-CN" w:bidi="ar"/>
          <w14:textFill>
            <w14:solidFill>
              <w14:schemeClr w14:val="tx1"/>
            </w14:solidFill>
          </w14:textFill>
        </w:rPr>
        <w:t>。切实加强“双师双能”</w:t>
      </w:r>
      <w:r>
        <w:rPr>
          <w:rFonts w:hint="eastAsia" w:ascii="仿宋" w:hAnsi="仿宋" w:eastAsia="仿宋" w:cs="仿宋"/>
          <w:b/>
          <w:bCs/>
          <w:color w:val="000000" w:themeColor="text1"/>
          <w:kern w:val="0"/>
          <w:sz w:val="30"/>
          <w:szCs w:val="30"/>
          <w:u w:val="none"/>
          <w:lang w:eastAsia="zh-CN" w:bidi="ar"/>
          <w14:textFill>
            <w14:solidFill>
              <w14:schemeClr w14:val="tx1"/>
            </w14:solidFill>
          </w14:textFill>
        </w:rPr>
        <w:t>型</w:t>
      </w:r>
      <w:r>
        <w:rPr>
          <w:rFonts w:hint="eastAsia" w:ascii="仿宋" w:hAnsi="仿宋" w:eastAsia="仿宋" w:cs="仿宋"/>
          <w:b/>
          <w:bCs/>
          <w:color w:val="000000" w:themeColor="text1"/>
          <w:kern w:val="0"/>
          <w:sz w:val="30"/>
          <w:szCs w:val="30"/>
          <w:u w:val="none"/>
          <w:lang w:val="en-US" w:eastAsia="zh-CN" w:bidi="ar"/>
          <w14:textFill>
            <w14:solidFill>
              <w14:schemeClr w14:val="tx1"/>
            </w14:solidFill>
          </w14:textFill>
        </w:rPr>
        <w:t>教师队伍建设，让教师强起来。</w:t>
      </w:r>
      <w:r>
        <w:rPr>
          <w:rFonts w:hint="eastAsia" w:ascii="仿宋" w:hAnsi="仿宋" w:eastAsia="仿宋" w:cs="仿宋"/>
          <w:b w:val="0"/>
          <w:bCs w:val="0"/>
          <w:color w:val="000000" w:themeColor="text1"/>
          <w:kern w:val="0"/>
          <w:sz w:val="30"/>
          <w:szCs w:val="30"/>
          <w:u w:val="none"/>
          <w:lang w:val="en-US" w:eastAsia="zh-CN" w:bidi="ar"/>
          <w14:textFill>
            <w14:solidFill>
              <w14:schemeClr w14:val="tx1"/>
            </w14:solidFill>
          </w14:textFill>
        </w:rPr>
        <w:t>全面开展教师教学能力常态化提升培训，重点面向新入职和青年教师开展岗前和在岗专业科目培训，实施青年骨干教师国内外访学计划、挂职锻炼和社会实践。到“十四五”末实现专兼职“双师双能”教师总量占专任教师比例达到</w:t>
      </w:r>
      <w:r>
        <w:rPr>
          <w:rFonts w:hint="eastAsia" w:ascii="仿宋" w:hAnsi="仿宋" w:eastAsia="仿宋" w:cs="仿宋"/>
          <w:b w:val="0"/>
          <w:bCs w:val="0"/>
          <w:color w:val="0000FF"/>
          <w:kern w:val="0"/>
          <w:sz w:val="30"/>
          <w:szCs w:val="30"/>
          <w:u w:val="none"/>
          <w:lang w:val="en-US" w:eastAsia="zh-CN" w:bidi="ar"/>
        </w:rPr>
        <w:t>60%</w:t>
      </w:r>
      <w:r>
        <w:rPr>
          <w:rFonts w:hint="eastAsia" w:ascii="仿宋" w:hAnsi="仿宋" w:eastAsia="仿宋" w:cs="仿宋"/>
          <w:b w:val="0"/>
          <w:bCs w:val="0"/>
          <w:color w:val="000000" w:themeColor="text1"/>
          <w:kern w:val="0"/>
          <w:sz w:val="30"/>
          <w:szCs w:val="30"/>
          <w:u w:val="none"/>
          <w:lang w:val="en-US" w:eastAsia="zh-CN" w:bidi="ar"/>
          <w14:textFill>
            <w14:solidFill>
              <w14:schemeClr w14:val="tx1"/>
            </w14:solidFill>
          </w14:textFill>
        </w:rPr>
        <w:t>左右。着力完善师资队伍职称结构和</w:t>
      </w:r>
      <w:r>
        <w:rPr>
          <w:rFonts w:hint="eastAsia" w:ascii="仿宋" w:hAnsi="仿宋" w:eastAsia="仿宋" w:cs="仿宋"/>
          <w:color w:val="000000" w:themeColor="text1"/>
          <w:kern w:val="0"/>
          <w:sz w:val="30"/>
          <w:szCs w:val="30"/>
          <w:u w:val="none"/>
          <w:lang w:val="en-US" w:eastAsia="zh-CN" w:bidi="ar"/>
          <w14:textFill>
            <w14:solidFill>
              <w14:schemeClr w14:val="tx1"/>
            </w14:solidFill>
          </w14:textFill>
        </w:rPr>
        <w:t>学历结构，</w:t>
      </w:r>
      <w:r>
        <w:rPr>
          <w:rFonts w:hint="eastAsia" w:ascii="仿宋" w:hAnsi="仿宋" w:eastAsia="仿宋" w:cs="仿宋"/>
          <w:color w:val="000000" w:themeColor="text1"/>
          <w:kern w:val="0"/>
          <w:sz w:val="30"/>
          <w:szCs w:val="30"/>
          <w:u w:val="none"/>
          <w:lang w:eastAsia="zh-CN" w:bidi="ar"/>
          <w14:textFill>
            <w14:solidFill>
              <w14:schemeClr w14:val="tx1"/>
            </w14:solidFill>
          </w14:textFill>
        </w:rPr>
        <w:t>“十四五”末，</w:t>
      </w:r>
      <w:r>
        <w:rPr>
          <w:rFonts w:hint="eastAsia" w:ascii="仿宋" w:hAnsi="仿宋" w:eastAsia="仿宋" w:cs="仿宋"/>
          <w:color w:val="000000" w:themeColor="text1"/>
          <w:kern w:val="0"/>
          <w:sz w:val="30"/>
          <w:szCs w:val="30"/>
          <w:u w:val="none"/>
          <w:lang w:val="en-US" w:eastAsia="zh-CN" w:bidi="ar"/>
          <w14:textFill>
            <w14:solidFill>
              <w14:schemeClr w14:val="tx1"/>
            </w14:solidFill>
          </w14:textFill>
        </w:rPr>
        <w:t>高</w:t>
      </w:r>
      <w:r>
        <w:rPr>
          <w:rFonts w:hint="eastAsia" w:ascii="仿宋" w:hAnsi="仿宋" w:eastAsia="仿宋" w:cs="仿宋"/>
          <w:color w:val="000000" w:themeColor="text1"/>
          <w:kern w:val="0"/>
          <w:sz w:val="30"/>
          <w:szCs w:val="30"/>
          <w:u w:val="none"/>
          <w:lang w:eastAsia="zh-CN" w:bidi="ar"/>
          <w14:textFill>
            <w14:solidFill>
              <w14:schemeClr w14:val="tx1"/>
            </w14:solidFill>
          </w14:textFill>
        </w:rPr>
        <w:t>学历</w:t>
      </w:r>
      <w:r>
        <w:rPr>
          <w:rFonts w:hint="eastAsia" w:ascii="仿宋" w:hAnsi="仿宋" w:eastAsia="仿宋" w:cs="仿宋"/>
          <w:color w:val="000000" w:themeColor="text1"/>
          <w:kern w:val="0"/>
          <w:sz w:val="30"/>
          <w:szCs w:val="30"/>
          <w:u w:val="none"/>
          <w:lang w:val="en-US" w:eastAsia="zh-CN" w:bidi="ar"/>
          <w14:textFill>
            <w14:solidFill>
              <w14:schemeClr w14:val="tx1"/>
            </w14:solidFill>
          </w14:textFill>
        </w:rPr>
        <w:t>、</w:t>
      </w:r>
      <w:r>
        <w:rPr>
          <w:rFonts w:hint="eastAsia" w:ascii="仿宋" w:hAnsi="仿宋" w:eastAsia="仿宋" w:cs="仿宋"/>
          <w:color w:val="000000" w:themeColor="text1"/>
          <w:kern w:val="0"/>
          <w:sz w:val="30"/>
          <w:szCs w:val="30"/>
          <w:u w:val="none"/>
          <w:lang w:eastAsia="zh-CN" w:bidi="ar"/>
          <w14:textFill>
            <w14:solidFill>
              <w14:schemeClr w14:val="tx1"/>
            </w14:solidFill>
          </w14:textFill>
        </w:rPr>
        <w:t>高职称</w:t>
      </w:r>
      <w:r>
        <w:rPr>
          <w:rFonts w:hint="eastAsia" w:ascii="仿宋" w:hAnsi="仿宋" w:eastAsia="仿宋" w:cs="仿宋"/>
          <w:color w:val="000000" w:themeColor="text1"/>
          <w:kern w:val="0"/>
          <w:sz w:val="30"/>
          <w:szCs w:val="30"/>
          <w:u w:val="none"/>
          <w:lang w:val="en-US" w:eastAsia="zh-CN" w:bidi="ar"/>
          <w14:textFill>
            <w14:solidFill>
              <w14:schemeClr w14:val="tx1"/>
            </w14:solidFill>
          </w14:textFill>
        </w:rPr>
        <w:t>教师占专任教师比例分别达到</w:t>
      </w:r>
      <w:r>
        <w:rPr>
          <w:rFonts w:hint="eastAsia" w:ascii="仿宋" w:hAnsi="仿宋" w:eastAsia="仿宋" w:cs="仿宋"/>
          <w:color w:val="000000" w:themeColor="text1"/>
          <w:kern w:val="0"/>
          <w:sz w:val="30"/>
          <w:szCs w:val="30"/>
          <w:u w:val="none"/>
          <w:lang w:eastAsia="zh-CN" w:bidi="ar"/>
          <w14:textFill>
            <w14:solidFill>
              <w14:schemeClr w14:val="tx1"/>
            </w14:solidFill>
          </w14:textFill>
        </w:rPr>
        <w:t>90%</w:t>
      </w:r>
      <w:r>
        <w:rPr>
          <w:rFonts w:hint="eastAsia" w:ascii="仿宋" w:hAnsi="仿宋" w:eastAsia="仿宋" w:cs="仿宋"/>
          <w:color w:val="000000" w:themeColor="text1"/>
          <w:kern w:val="0"/>
          <w:sz w:val="30"/>
          <w:szCs w:val="30"/>
          <w:u w:val="none"/>
          <w:lang w:val="en-US" w:eastAsia="zh-CN" w:bidi="ar"/>
          <w14:textFill>
            <w14:solidFill>
              <w14:schemeClr w14:val="tx1"/>
            </w14:solidFill>
          </w14:textFill>
        </w:rPr>
        <w:t>和</w:t>
      </w:r>
      <w:r>
        <w:rPr>
          <w:rFonts w:hint="eastAsia" w:ascii="仿宋" w:hAnsi="仿宋" w:eastAsia="仿宋" w:cs="仿宋"/>
          <w:color w:val="000000" w:themeColor="text1"/>
          <w:kern w:val="0"/>
          <w:sz w:val="30"/>
          <w:szCs w:val="30"/>
          <w:u w:val="none"/>
          <w:lang w:eastAsia="zh-CN" w:bidi="ar"/>
          <w14:textFill>
            <w14:solidFill>
              <w14:schemeClr w14:val="tx1"/>
            </w14:solidFill>
          </w14:textFill>
        </w:rPr>
        <w:t>35%以上，</w:t>
      </w:r>
      <w:r>
        <w:rPr>
          <w:rFonts w:hint="eastAsia" w:ascii="仿宋" w:hAnsi="仿宋" w:eastAsia="仿宋" w:cs="仿宋"/>
          <w:color w:val="000000" w:themeColor="text1"/>
          <w:kern w:val="0"/>
          <w:sz w:val="30"/>
          <w:szCs w:val="30"/>
          <w:u w:val="none"/>
          <w:lang w:val="en-US" w:eastAsia="zh-CN" w:bidi="ar"/>
          <w14:textFill>
            <w14:solidFill>
              <w14:schemeClr w14:val="tx1"/>
            </w14:solidFill>
          </w14:textFill>
        </w:rPr>
        <w:t>打造一支数量充足、结构合理、素质优良的</w:t>
      </w:r>
      <w:r>
        <w:rPr>
          <w:rFonts w:hint="eastAsia" w:ascii="仿宋" w:hAnsi="仿宋" w:eastAsia="仿宋" w:cs="仿宋"/>
          <w:color w:val="000000" w:themeColor="text1"/>
          <w:kern w:val="0"/>
          <w:sz w:val="30"/>
          <w:szCs w:val="30"/>
          <w:u w:val="none"/>
          <w:lang w:eastAsia="zh-CN" w:bidi="ar"/>
          <w14:textFill>
            <w14:solidFill>
              <w14:schemeClr w14:val="tx1"/>
            </w14:solidFill>
          </w14:textFill>
        </w:rPr>
        <w:t>应用型</w:t>
      </w:r>
      <w:r>
        <w:rPr>
          <w:rFonts w:hint="eastAsia" w:ascii="仿宋" w:hAnsi="仿宋" w:eastAsia="仿宋" w:cs="仿宋"/>
          <w:color w:val="000000" w:themeColor="text1"/>
          <w:kern w:val="0"/>
          <w:sz w:val="30"/>
          <w:szCs w:val="30"/>
          <w:u w:val="none"/>
          <w:lang w:val="en-US" w:eastAsia="zh-CN" w:bidi="ar"/>
          <w14:textFill>
            <w14:solidFill>
              <w14:schemeClr w14:val="tx1"/>
            </w14:solidFill>
          </w14:textFill>
        </w:rPr>
        <w:t>创新型师资队伍。</w:t>
      </w:r>
      <w:r>
        <w:rPr>
          <w:rFonts w:hint="eastAsia" w:ascii="仿宋" w:hAnsi="仿宋" w:eastAsia="仿宋" w:cs="仿宋"/>
          <w:b/>
          <w:bCs/>
          <w:color w:val="000000" w:themeColor="text1"/>
          <w:kern w:val="0"/>
          <w:sz w:val="30"/>
          <w:szCs w:val="30"/>
          <w:u w:val="none"/>
          <w:lang w:val="en-US" w:eastAsia="zh-CN" w:bidi="ar"/>
          <w14:textFill>
            <w14:solidFill>
              <w14:schemeClr w14:val="tx1"/>
            </w14:solidFill>
          </w14:textFill>
        </w:rPr>
        <w:t>加大思政课教师队伍建设力度</w:t>
      </w:r>
      <w:r>
        <w:rPr>
          <w:rFonts w:hint="eastAsia" w:ascii="仿宋" w:hAnsi="仿宋" w:eastAsia="仿宋" w:cs="仿宋"/>
          <w:b w:val="0"/>
          <w:bCs w:val="0"/>
          <w:color w:val="auto"/>
          <w:kern w:val="0"/>
          <w:sz w:val="30"/>
          <w:szCs w:val="30"/>
          <w:u w:val="none"/>
          <w:lang w:val="en-US" w:eastAsia="zh-CN" w:bidi="ar"/>
        </w:rPr>
        <w:t>，思政课教师师生比达到1:350，专职辅导员师生比达到1:200，</w:t>
      </w:r>
      <w:r>
        <w:rPr>
          <w:rFonts w:hint="eastAsia" w:ascii="仿宋" w:hAnsi="仿宋" w:eastAsia="仿宋" w:cs="仿宋"/>
          <w:color w:val="auto"/>
          <w:kern w:val="0"/>
          <w:sz w:val="30"/>
          <w:szCs w:val="30"/>
          <w:u w:val="none"/>
          <w:lang w:val="en-US" w:eastAsia="zh-CN" w:bidi="ar"/>
        </w:rPr>
        <w:t>打造</w:t>
      </w:r>
      <w:r>
        <w:rPr>
          <w:rFonts w:hint="eastAsia" w:ascii="仿宋" w:hAnsi="仿宋" w:eastAsia="仿宋" w:cs="仿宋"/>
          <w:color w:val="000000" w:themeColor="text1"/>
          <w:kern w:val="0"/>
          <w:sz w:val="30"/>
          <w:szCs w:val="30"/>
          <w:u w:val="none"/>
          <w:lang w:val="en-US" w:eastAsia="zh-CN" w:bidi="ar"/>
          <w14:textFill>
            <w14:solidFill>
              <w14:schemeClr w14:val="tx1"/>
            </w14:solidFill>
          </w14:textFill>
        </w:rPr>
        <w:t>一支</w:t>
      </w:r>
      <w:r>
        <w:rPr>
          <w:rFonts w:hint="eastAsia" w:ascii="仿宋" w:hAnsi="仿宋" w:eastAsia="仿宋" w:cs="仿宋"/>
          <w:b w:val="0"/>
          <w:bCs w:val="0"/>
          <w:color w:val="000000" w:themeColor="text1"/>
          <w:kern w:val="0"/>
          <w:sz w:val="30"/>
          <w:szCs w:val="30"/>
          <w:u w:val="none"/>
          <w:lang w:val="en-US" w:eastAsia="zh-CN" w:bidi="ar"/>
          <w14:textFill>
            <w14:solidFill>
              <w14:schemeClr w14:val="tx1"/>
            </w14:solidFill>
          </w14:textFill>
        </w:rPr>
        <w:t>专职为主、专兼结合、数量充足、素质优良的思想政治工作队伍。</w:t>
      </w:r>
    </w:p>
    <w:p>
      <w:pPr>
        <w:keepNext w:val="0"/>
        <w:keepLines w:val="0"/>
        <w:pageBreakBefore w:val="0"/>
        <w:widowControl/>
        <w:suppressLineNumbers w:val="0"/>
        <w:kinsoku/>
        <w:wordWrap/>
        <w:overflowPunct/>
        <w:topLinePunct w:val="0"/>
        <w:autoSpaceDE/>
        <w:autoSpaceDN/>
        <w:bidi w:val="0"/>
        <w:adjustRightInd/>
        <w:snapToGrid/>
        <w:spacing w:line="520" w:lineRule="exact"/>
        <w:ind w:left="0" w:leftChars="0" w:firstLine="602" w:firstLineChars="200"/>
        <w:jc w:val="both"/>
        <w:textAlignment w:val="auto"/>
        <w:outlineLvl w:val="2"/>
        <w:rPr>
          <w:rFonts w:hint="eastAsia" w:ascii="仿宋" w:hAnsi="仿宋" w:eastAsia="仿宋" w:cs="仿宋"/>
          <w:b/>
          <w:bCs/>
          <w:color w:val="000000" w:themeColor="text1"/>
          <w:sz w:val="30"/>
          <w:szCs w:val="30"/>
          <w:u w:val="none"/>
          <w14:textFill>
            <w14:solidFill>
              <w14:schemeClr w14:val="tx1"/>
            </w14:solidFill>
          </w14:textFill>
        </w:rPr>
      </w:pPr>
      <w:bookmarkStart w:id="80" w:name="_Toc2163"/>
      <w:r>
        <w:rPr>
          <w:rFonts w:hint="eastAsia" w:ascii="仿宋" w:hAnsi="仿宋" w:eastAsia="仿宋" w:cs="仿宋"/>
          <w:b/>
          <w:bCs/>
          <w:color w:val="000000" w:themeColor="text1"/>
          <w:kern w:val="0"/>
          <w:sz w:val="30"/>
          <w:szCs w:val="30"/>
          <w:u w:val="none"/>
          <w:lang w:val="en-US" w:eastAsia="zh-CN" w:bidi="ar"/>
          <w14:textFill>
            <w14:solidFill>
              <w14:schemeClr w14:val="tx1"/>
            </w14:solidFill>
          </w14:textFill>
        </w:rPr>
        <w:t>2.</w:t>
      </w:r>
      <w:r>
        <w:rPr>
          <w:rFonts w:hint="eastAsia" w:ascii="仿宋" w:hAnsi="仿宋" w:eastAsia="仿宋" w:cs="仿宋"/>
          <w:b/>
          <w:bCs/>
          <w:color w:val="000000" w:themeColor="text1"/>
          <w:kern w:val="0"/>
          <w:sz w:val="30"/>
          <w:szCs w:val="30"/>
          <w:u w:val="none"/>
          <w:lang w:eastAsia="zh-CN" w:bidi="ar"/>
          <w14:textFill>
            <w14:solidFill>
              <w14:schemeClr w14:val="tx1"/>
            </w14:solidFill>
          </w14:textFill>
        </w:rPr>
        <w:t>坚持</w:t>
      </w:r>
      <w:r>
        <w:rPr>
          <w:rFonts w:hint="eastAsia" w:ascii="仿宋" w:hAnsi="仿宋" w:eastAsia="仿宋" w:cs="仿宋"/>
          <w:b/>
          <w:bCs/>
          <w:color w:val="000000" w:themeColor="text1"/>
          <w:kern w:val="0"/>
          <w:sz w:val="30"/>
          <w:szCs w:val="30"/>
          <w:u w:val="none"/>
          <w:lang w:val="en-US" w:eastAsia="zh-CN" w:bidi="ar"/>
          <w14:textFill>
            <w14:solidFill>
              <w14:schemeClr w14:val="tx1"/>
            </w14:solidFill>
          </w14:textFill>
        </w:rPr>
        <w:t>分类施策，优化配置各类人才资源</w:t>
      </w:r>
      <w:bookmarkEnd w:id="80"/>
    </w:p>
    <w:p>
      <w:pPr>
        <w:pStyle w:val="2"/>
        <w:keepNext w:val="0"/>
        <w:keepLines w:val="0"/>
        <w:pageBreakBefore w:val="0"/>
        <w:widowControl w:val="0"/>
        <w:kinsoku/>
        <w:wordWrap/>
        <w:overflowPunct/>
        <w:topLinePunct w:val="0"/>
        <w:autoSpaceDE/>
        <w:autoSpaceDN/>
        <w:bidi w:val="0"/>
        <w:adjustRightInd/>
        <w:snapToGrid/>
        <w:spacing w:before="0" w:beforeAutospacing="0" w:afterAutospacing="0" w:line="520" w:lineRule="exact"/>
        <w:ind w:left="0" w:leftChars="0" w:right="0" w:firstLine="600" w:firstLineChars="200"/>
        <w:jc w:val="both"/>
        <w:textAlignment w:val="auto"/>
        <w:rPr>
          <w:rFonts w:hint="eastAsia" w:ascii="仿宋" w:hAnsi="仿宋" w:eastAsia="仿宋" w:cs="仿宋"/>
          <w:b w:val="0"/>
          <w:bCs w:val="0"/>
          <w:color w:val="000000" w:themeColor="text1"/>
          <w:kern w:val="0"/>
          <w:sz w:val="30"/>
          <w:szCs w:val="30"/>
          <w:u w:val="none"/>
          <w:lang w:val="en-US" w:eastAsia="zh-CN" w:bidi="ar"/>
          <w14:textFill>
            <w14:solidFill>
              <w14:schemeClr w14:val="tx1"/>
            </w14:solidFill>
          </w14:textFill>
        </w:rPr>
      </w:pPr>
      <w:bookmarkStart w:id="81" w:name="_Toc31759"/>
      <w:bookmarkStart w:id="82" w:name="_Toc3120"/>
      <w:bookmarkStart w:id="83" w:name="_Toc32105"/>
      <w:bookmarkStart w:id="84" w:name="_Toc15352"/>
      <w:r>
        <w:rPr>
          <w:rFonts w:hint="eastAsia" w:ascii="仿宋" w:hAnsi="仿宋" w:eastAsia="仿宋" w:cs="仿宋"/>
          <w:b w:val="0"/>
          <w:bCs w:val="0"/>
          <w:color w:val="000000" w:themeColor="text1"/>
          <w:kern w:val="0"/>
          <w:sz w:val="30"/>
          <w:szCs w:val="30"/>
          <w:u w:val="none"/>
          <w:lang w:val="en-US" w:eastAsia="zh-CN" w:bidi="ar"/>
          <w14:textFill>
            <w14:solidFill>
              <w14:schemeClr w14:val="tx1"/>
            </w14:solidFill>
          </w14:textFill>
        </w:rPr>
        <w:t>根据学校目标定位及实际需要，结合学科发展，科学核定教学科研、教学辅助、党政管理等岗位数</w:t>
      </w:r>
      <w:r>
        <w:rPr>
          <w:rFonts w:hint="eastAsia" w:ascii="仿宋" w:hAnsi="仿宋" w:eastAsia="仿宋" w:cs="仿宋"/>
          <w:b w:val="0"/>
          <w:bCs w:val="0"/>
          <w:color w:val="000000" w:themeColor="text1"/>
          <w:kern w:val="0"/>
          <w:sz w:val="30"/>
          <w:szCs w:val="30"/>
          <w:u w:val="none"/>
          <w:lang w:eastAsia="zh-CN" w:bidi="ar"/>
          <w14:textFill>
            <w14:solidFill>
              <w14:schemeClr w14:val="tx1"/>
            </w14:solidFill>
          </w14:textFill>
        </w:rPr>
        <w:t>量</w:t>
      </w:r>
      <w:r>
        <w:rPr>
          <w:rFonts w:hint="eastAsia" w:ascii="仿宋" w:hAnsi="仿宋" w:eastAsia="仿宋" w:cs="仿宋"/>
          <w:b w:val="0"/>
          <w:bCs w:val="0"/>
          <w:color w:val="000000" w:themeColor="text1"/>
          <w:kern w:val="0"/>
          <w:sz w:val="30"/>
          <w:szCs w:val="30"/>
          <w:u w:val="none"/>
          <w:lang w:val="en-US" w:eastAsia="zh-CN" w:bidi="ar"/>
          <w14:textFill>
            <w14:solidFill>
              <w14:schemeClr w14:val="tx1"/>
            </w14:solidFill>
          </w14:textFill>
        </w:rPr>
        <w:t>，</w:t>
      </w:r>
      <w:r>
        <w:rPr>
          <w:rFonts w:hint="eastAsia" w:ascii="仿宋" w:hAnsi="仿宋" w:eastAsia="仿宋" w:cs="仿宋"/>
          <w:b w:val="0"/>
          <w:bCs w:val="0"/>
          <w:color w:val="000000" w:themeColor="text1"/>
          <w:kern w:val="0"/>
          <w:sz w:val="30"/>
          <w:szCs w:val="30"/>
          <w:u w:val="none"/>
          <w:lang w:eastAsia="zh-CN" w:bidi="ar"/>
          <w14:textFill>
            <w14:solidFill>
              <w14:schemeClr w14:val="tx1"/>
            </w14:solidFill>
          </w14:textFill>
        </w:rPr>
        <w:t>统筹推进</w:t>
      </w:r>
      <w:r>
        <w:rPr>
          <w:rFonts w:hint="eastAsia" w:ascii="仿宋" w:hAnsi="仿宋" w:eastAsia="仿宋" w:cs="仿宋"/>
          <w:b w:val="0"/>
          <w:bCs w:val="0"/>
          <w:color w:val="000000" w:themeColor="text1"/>
          <w:kern w:val="0"/>
          <w:sz w:val="30"/>
          <w:szCs w:val="30"/>
          <w:u w:val="none"/>
          <w:lang w:val="en-US" w:eastAsia="zh-CN" w:bidi="ar"/>
          <w14:textFill>
            <w14:solidFill>
              <w14:schemeClr w14:val="tx1"/>
            </w14:solidFill>
          </w14:textFill>
        </w:rPr>
        <w:t>各单位人才</w:t>
      </w:r>
      <w:r>
        <w:rPr>
          <w:rFonts w:hint="eastAsia" w:ascii="仿宋" w:hAnsi="仿宋" w:eastAsia="仿宋" w:cs="仿宋"/>
          <w:b w:val="0"/>
          <w:bCs w:val="0"/>
          <w:color w:val="000000" w:themeColor="text1"/>
          <w:kern w:val="0"/>
          <w:sz w:val="30"/>
          <w:szCs w:val="30"/>
          <w:u w:val="none"/>
          <w:lang w:eastAsia="zh-CN" w:bidi="ar"/>
          <w14:textFill>
            <w14:solidFill>
              <w14:schemeClr w14:val="tx1"/>
            </w14:solidFill>
          </w14:textFill>
        </w:rPr>
        <w:t>资源的科学、高效与精</w:t>
      </w:r>
      <w:r>
        <w:rPr>
          <w:rFonts w:hint="eastAsia" w:ascii="仿宋" w:hAnsi="仿宋" w:eastAsia="仿宋" w:cs="仿宋"/>
          <w:b w:val="0"/>
          <w:bCs w:val="0"/>
          <w:color w:val="000000" w:themeColor="text1"/>
          <w:kern w:val="0"/>
          <w:sz w:val="30"/>
          <w:szCs w:val="30"/>
          <w:u w:val="none"/>
          <w:lang w:val="en-US" w:eastAsia="zh-CN" w:bidi="ar"/>
          <w14:textFill>
            <w14:solidFill>
              <w14:schemeClr w14:val="tx1"/>
            </w14:solidFill>
          </w14:textFill>
        </w:rPr>
        <w:t>细化</w:t>
      </w:r>
      <w:r>
        <w:rPr>
          <w:rFonts w:hint="eastAsia" w:ascii="仿宋" w:hAnsi="仿宋" w:eastAsia="仿宋" w:cs="仿宋"/>
          <w:b w:val="0"/>
          <w:bCs w:val="0"/>
          <w:color w:val="000000" w:themeColor="text1"/>
          <w:kern w:val="0"/>
          <w:sz w:val="30"/>
          <w:szCs w:val="30"/>
          <w:u w:val="none"/>
          <w:lang w:eastAsia="zh-CN" w:bidi="ar"/>
          <w14:textFill>
            <w14:solidFill>
              <w14:schemeClr w14:val="tx1"/>
            </w14:solidFill>
          </w14:textFill>
        </w:rPr>
        <w:t>管理</w:t>
      </w:r>
      <w:r>
        <w:rPr>
          <w:rFonts w:hint="eastAsia" w:ascii="仿宋" w:hAnsi="仿宋" w:eastAsia="仿宋" w:cs="仿宋"/>
          <w:b w:val="0"/>
          <w:bCs w:val="0"/>
          <w:color w:val="000000" w:themeColor="text1"/>
          <w:kern w:val="0"/>
          <w:sz w:val="30"/>
          <w:szCs w:val="30"/>
          <w:u w:val="none"/>
          <w:lang w:val="en-US" w:eastAsia="zh-CN" w:bidi="ar"/>
          <w14:textFill>
            <w14:solidFill>
              <w14:schemeClr w14:val="tx1"/>
            </w14:solidFill>
          </w14:textFill>
        </w:rPr>
        <w:t>。</w:t>
      </w:r>
      <w:r>
        <w:rPr>
          <w:rFonts w:hint="eastAsia" w:ascii="仿宋" w:hAnsi="仿宋" w:eastAsia="仿宋" w:cs="仿宋"/>
          <w:b w:val="0"/>
          <w:bCs w:val="0"/>
          <w:color w:val="auto"/>
          <w:kern w:val="0"/>
          <w:sz w:val="30"/>
          <w:szCs w:val="30"/>
          <w:u w:val="none"/>
          <w:lang w:val="en-US" w:eastAsia="zh-CN" w:bidi="ar"/>
        </w:rPr>
        <w:t>设立教学型、教学</w:t>
      </w:r>
      <w:r>
        <w:rPr>
          <w:rFonts w:hint="eastAsia" w:cs="仿宋"/>
          <w:b w:val="0"/>
          <w:bCs w:val="0"/>
          <w:color w:val="auto"/>
          <w:kern w:val="0"/>
          <w:sz w:val="30"/>
          <w:szCs w:val="30"/>
          <w:u w:val="none"/>
          <w:lang w:val="en-US" w:eastAsia="zh-CN" w:bidi="ar"/>
        </w:rPr>
        <w:t>科研</w:t>
      </w:r>
      <w:r>
        <w:rPr>
          <w:rFonts w:hint="eastAsia" w:ascii="仿宋" w:hAnsi="仿宋" w:eastAsia="仿宋" w:cs="仿宋"/>
          <w:b w:val="0"/>
          <w:bCs w:val="0"/>
          <w:color w:val="auto"/>
          <w:kern w:val="0"/>
          <w:sz w:val="30"/>
          <w:szCs w:val="30"/>
          <w:u w:val="none"/>
          <w:lang w:val="en-US" w:eastAsia="zh-CN" w:bidi="ar"/>
        </w:rPr>
        <w:t>型、社会服务型等不同类型的专业技术岗位，完善教师分类标准，强化分类管理。以岗位责任制为抓手，注重结合人员发展的特点</w:t>
      </w:r>
      <w:r>
        <w:rPr>
          <w:rFonts w:hint="eastAsia" w:ascii="仿宋" w:hAnsi="仿宋" w:eastAsia="仿宋" w:cs="仿宋"/>
          <w:b w:val="0"/>
          <w:bCs w:val="0"/>
          <w:color w:val="auto"/>
          <w:kern w:val="0"/>
          <w:sz w:val="30"/>
          <w:szCs w:val="30"/>
          <w:u w:val="none"/>
          <w:lang w:eastAsia="zh-CN" w:bidi="ar"/>
        </w:rPr>
        <w:t>和</w:t>
      </w:r>
      <w:r>
        <w:rPr>
          <w:rFonts w:hint="eastAsia" w:ascii="仿宋" w:hAnsi="仿宋" w:eastAsia="仿宋" w:cs="仿宋"/>
          <w:b w:val="0"/>
          <w:bCs w:val="0"/>
          <w:color w:val="auto"/>
          <w:kern w:val="0"/>
          <w:sz w:val="30"/>
          <w:szCs w:val="30"/>
          <w:u w:val="none"/>
          <w:lang w:val="en-US" w:eastAsia="zh-CN" w:bidi="ar"/>
        </w:rPr>
        <w:t>不同学科特点，健全不同类型教师分类评价体系。</w:t>
      </w:r>
      <w:r>
        <w:rPr>
          <w:rFonts w:hint="eastAsia" w:ascii="仿宋" w:hAnsi="仿宋" w:eastAsia="仿宋" w:cs="仿宋"/>
          <w:b w:val="0"/>
          <w:bCs w:val="0"/>
          <w:color w:val="000000" w:themeColor="text1"/>
          <w:kern w:val="0"/>
          <w:sz w:val="30"/>
          <w:szCs w:val="30"/>
          <w:u w:val="none"/>
          <w:lang w:val="en-US" w:eastAsia="zh-CN" w:bidi="ar"/>
          <w14:textFill>
            <w14:solidFill>
              <w14:schemeClr w14:val="tx1"/>
            </w14:solidFill>
          </w14:textFill>
        </w:rPr>
        <w:t>构建教师“学术影响力”、“行业影响力”、“社会影响力”三位一体的综合评价机制，完善“人尽其才，才尽其用”的工作机制，激发教师的创造活力。</w:t>
      </w:r>
      <w:bookmarkEnd w:id="81"/>
      <w:bookmarkEnd w:id="82"/>
      <w:bookmarkEnd w:id="83"/>
      <w:bookmarkEnd w:id="84"/>
    </w:p>
    <w:p>
      <w:pPr>
        <w:pStyle w:val="4"/>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20" w:lineRule="exact"/>
        <w:ind w:left="0" w:leftChars="0" w:right="0" w:firstLine="602" w:firstLineChars="200"/>
        <w:jc w:val="both"/>
        <w:textAlignment w:val="auto"/>
        <w:outlineLvl w:val="2"/>
        <w:rPr>
          <w:rFonts w:hint="eastAsia" w:ascii="仿宋" w:hAnsi="仿宋" w:eastAsia="仿宋" w:cs="仿宋"/>
          <w:b/>
          <w:bCs/>
          <w:color w:val="auto"/>
          <w:kern w:val="0"/>
          <w:sz w:val="30"/>
          <w:szCs w:val="30"/>
          <w:u w:val="none"/>
          <w:lang w:val="en-US" w:eastAsia="zh-CN" w:bidi="ar"/>
        </w:rPr>
      </w:pPr>
      <w:bookmarkStart w:id="85" w:name="_Toc23831"/>
      <w:r>
        <w:rPr>
          <w:rFonts w:hint="eastAsia" w:ascii="仿宋" w:hAnsi="仿宋" w:eastAsia="仿宋" w:cs="仿宋"/>
          <w:b/>
          <w:bCs/>
          <w:color w:val="000000" w:themeColor="text1"/>
          <w:kern w:val="0"/>
          <w:sz w:val="30"/>
          <w:szCs w:val="30"/>
          <w:u w:val="none"/>
          <w:lang w:val="en-US" w:eastAsia="zh-CN" w:bidi="ar"/>
          <w14:textFill>
            <w14:solidFill>
              <w14:schemeClr w14:val="tx1"/>
            </w14:solidFill>
          </w14:textFill>
        </w:rPr>
        <w:t>3.</w:t>
      </w:r>
      <w:r>
        <w:rPr>
          <w:rFonts w:hint="eastAsia" w:ascii="仿宋" w:hAnsi="仿宋" w:eastAsia="仿宋" w:cs="仿宋"/>
          <w:b/>
          <w:bCs/>
          <w:color w:val="000000" w:themeColor="text1"/>
          <w:kern w:val="0"/>
          <w:sz w:val="30"/>
          <w:szCs w:val="30"/>
          <w:u w:val="none"/>
          <w:lang w:eastAsia="zh-CN" w:bidi="ar"/>
          <w14:textFill>
            <w14:solidFill>
              <w14:schemeClr w14:val="tx1"/>
            </w14:solidFill>
          </w14:textFill>
        </w:rPr>
        <w:t>坚持</w:t>
      </w:r>
      <w:r>
        <w:rPr>
          <w:rFonts w:hint="eastAsia" w:ascii="仿宋" w:hAnsi="仿宋" w:eastAsia="仿宋" w:cs="仿宋"/>
          <w:b/>
          <w:bCs/>
          <w:color w:val="000000" w:themeColor="text1"/>
          <w:kern w:val="0"/>
          <w:sz w:val="30"/>
          <w:szCs w:val="30"/>
          <w:u w:val="none"/>
          <w:lang w:val="en-US" w:eastAsia="zh-CN" w:bidi="ar"/>
          <w14:textFill>
            <w14:solidFill>
              <w14:schemeClr w14:val="tx1"/>
            </w14:solidFill>
          </w14:textFill>
        </w:rPr>
        <w:t>待遇激励</w:t>
      </w:r>
      <w:r>
        <w:rPr>
          <w:rFonts w:hint="eastAsia" w:ascii="仿宋" w:hAnsi="仿宋" w:eastAsia="仿宋" w:cs="仿宋"/>
          <w:b/>
          <w:bCs/>
          <w:color w:val="auto"/>
          <w:kern w:val="0"/>
          <w:sz w:val="30"/>
          <w:szCs w:val="30"/>
          <w:u w:val="none"/>
          <w:lang w:val="en-US" w:eastAsia="zh-CN" w:bidi="ar"/>
        </w:rPr>
        <w:t>，健全人事与分配改革制度</w:t>
      </w:r>
      <w:bookmarkEnd w:id="85"/>
    </w:p>
    <w:p>
      <w:pPr>
        <w:pStyle w:val="2"/>
        <w:keepNext w:val="0"/>
        <w:keepLines w:val="0"/>
        <w:pageBreakBefore w:val="0"/>
        <w:widowControl w:val="0"/>
        <w:kinsoku/>
        <w:wordWrap/>
        <w:overflowPunct/>
        <w:topLinePunct w:val="0"/>
        <w:autoSpaceDE/>
        <w:autoSpaceDN/>
        <w:bidi w:val="0"/>
        <w:adjustRightInd/>
        <w:snapToGrid/>
        <w:spacing w:before="0" w:beforeAutospacing="0" w:afterAutospacing="0" w:line="520" w:lineRule="exact"/>
        <w:ind w:left="0" w:leftChars="0" w:right="0" w:firstLine="600" w:firstLineChars="200"/>
        <w:jc w:val="both"/>
        <w:textAlignment w:val="auto"/>
        <w:rPr>
          <w:rFonts w:hint="eastAsia" w:ascii="仿宋" w:hAnsi="仿宋" w:eastAsia="仿宋" w:cs="仿宋"/>
          <w:b w:val="0"/>
          <w:bCs w:val="0"/>
          <w:color w:val="000000" w:themeColor="text1"/>
          <w:kern w:val="0"/>
          <w:sz w:val="30"/>
          <w:szCs w:val="30"/>
          <w:u w:val="none"/>
          <w:lang w:val="en-US" w:eastAsia="zh-CN" w:bidi="ar"/>
          <w14:textFill>
            <w14:solidFill>
              <w14:schemeClr w14:val="tx1"/>
            </w14:solidFill>
          </w14:textFill>
        </w:rPr>
      </w:pPr>
      <w:bookmarkStart w:id="86" w:name="_Toc6604"/>
      <w:bookmarkStart w:id="87" w:name="_Toc13814"/>
      <w:bookmarkStart w:id="88" w:name="_Toc22464"/>
      <w:bookmarkStart w:id="89" w:name="_Toc16974"/>
      <w:r>
        <w:rPr>
          <w:rFonts w:hint="eastAsia" w:ascii="仿宋" w:hAnsi="仿宋" w:eastAsia="仿宋" w:cs="仿宋"/>
          <w:b w:val="0"/>
          <w:bCs w:val="0"/>
          <w:color w:val="auto"/>
          <w:kern w:val="0"/>
          <w:sz w:val="30"/>
          <w:szCs w:val="30"/>
          <w:u w:val="none"/>
          <w:lang w:val="en-US" w:eastAsia="zh-CN" w:bidi="ar"/>
        </w:rPr>
        <w:t>加强制度设计，制定符合校情的薪酬</w:t>
      </w:r>
      <w:r>
        <w:rPr>
          <w:rFonts w:hint="eastAsia" w:ascii="仿宋" w:hAnsi="仿宋" w:eastAsia="仿宋" w:cs="仿宋"/>
          <w:b w:val="0"/>
          <w:bCs w:val="0"/>
          <w:color w:val="auto"/>
          <w:kern w:val="0"/>
          <w:sz w:val="30"/>
          <w:szCs w:val="30"/>
          <w:u w:val="none"/>
          <w:lang w:eastAsia="zh-CN" w:bidi="ar"/>
        </w:rPr>
        <w:t>策略</w:t>
      </w:r>
      <w:r>
        <w:rPr>
          <w:rFonts w:hint="eastAsia" w:cs="仿宋"/>
          <w:b w:val="0"/>
          <w:bCs w:val="0"/>
          <w:color w:val="auto"/>
          <w:kern w:val="0"/>
          <w:sz w:val="30"/>
          <w:szCs w:val="30"/>
          <w:u w:val="none"/>
          <w:lang w:val="en-US" w:eastAsia="zh-CN" w:bidi="ar"/>
        </w:rPr>
        <w:t>，</w:t>
      </w:r>
      <w:r>
        <w:rPr>
          <w:rFonts w:hint="eastAsia" w:cs="仿宋"/>
          <w:b w:val="0"/>
          <w:bCs w:val="0"/>
          <w:color w:val="000000" w:themeColor="text1"/>
          <w:kern w:val="0"/>
          <w:sz w:val="30"/>
          <w:szCs w:val="30"/>
          <w:u w:val="none"/>
          <w:lang w:val="en-US" w:eastAsia="zh-CN" w:bidi="ar"/>
          <w14:textFill>
            <w14:solidFill>
              <w14:schemeClr w14:val="tx1"/>
            </w14:solidFill>
          </w14:textFill>
        </w:rPr>
        <w:t>建立和</w:t>
      </w:r>
      <w:r>
        <w:rPr>
          <w:rFonts w:hint="eastAsia" w:ascii="仿宋" w:hAnsi="仿宋" w:eastAsia="仿宋" w:cs="仿宋"/>
          <w:b w:val="0"/>
          <w:bCs w:val="0"/>
          <w:color w:val="000000" w:themeColor="text1"/>
          <w:kern w:val="0"/>
          <w:sz w:val="30"/>
          <w:szCs w:val="30"/>
          <w:u w:val="none"/>
          <w:lang w:val="en-US" w:eastAsia="zh-CN" w:bidi="ar"/>
          <w14:textFill>
            <w14:solidFill>
              <w14:schemeClr w14:val="tx1"/>
            </w14:solidFill>
          </w14:textFill>
        </w:rPr>
        <w:t>完善</w:t>
      </w:r>
      <w:r>
        <w:rPr>
          <w:rFonts w:hint="eastAsia" w:cs="仿宋"/>
          <w:b w:val="0"/>
          <w:bCs w:val="0"/>
          <w:color w:val="000000" w:themeColor="text1"/>
          <w:kern w:val="0"/>
          <w:sz w:val="30"/>
          <w:szCs w:val="30"/>
          <w:u w:val="none"/>
          <w:lang w:val="en-US" w:eastAsia="zh-CN" w:bidi="ar"/>
          <w14:textFill>
            <w14:solidFill>
              <w14:schemeClr w14:val="tx1"/>
            </w14:solidFill>
          </w14:textFill>
        </w:rPr>
        <w:t>相关</w:t>
      </w:r>
      <w:r>
        <w:rPr>
          <w:rFonts w:hint="eastAsia" w:ascii="仿宋" w:hAnsi="仿宋" w:eastAsia="仿宋" w:cs="仿宋"/>
          <w:b w:val="0"/>
          <w:bCs w:val="0"/>
          <w:color w:val="000000" w:themeColor="text1"/>
          <w:kern w:val="0"/>
          <w:sz w:val="30"/>
          <w:szCs w:val="30"/>
          <w:u w:val="none"/>
          <w:lang w:val="en-US" w:eastAsia="zh-CN" w:bidi="ar"/>
          <w14:textFill>
            <w14:solidFill>
              <w14:schemeClr w14:val="tx1"/>
            </w14:solidFill>
          </w14:textFill>
        </w:rPr>
        <w:t>激励机制，着力</w:t>
      </w:r>
      <w:r>
        <w:rPr>
          <w:rFonts w:hint="eastAsia" w:cs="仿宋"/>
          <w:b w:val="0"/>
          <w:bCs w:val="0"/>
          <w:color w:val="auto"/>
          <w:kern w:val="0"/>
          <w:sz w:val="30"/>
          <w:szCs w:val="30"/>
          <w:u w:val="none"/>
          <w:lang w:val="en-US" w:eastAsia="zh-CN" w:bidi="ar"/>
        </w:rPr>
        <w:t>解决制约学校发展的诸多不利因素</w:t>
      </w:r>
      <w:r>
        <w:rPr>
          <w:rFonts w:hint="eastAsia" w:ascii="仿宋" w:hAnsi="仿宋" w:eastAsia="仿宋" w:cs="仿宋"/>
          <w:b w:val="0"/>
          <w:bCs w:val="0"/>
          <w:color w:val="auto"/>
          <w:kern w:val="0"/>
          <w:sz w:val="30"/>
          <w:szCs w:val="30"/>
          <w:u w:val="none"/>
          <w:lang w:val="en-US" w:eastAsia="zh-CN" w:bidi="ar"/>
        </w:rPr>
        <w:t>，进一步激发教职员工</w:t>
      </w:r>
      <w:r>
        <w:rPr>
          <w:rFonts w:hint="eastAsia" w:cs="仿宋"/>
          <w:b w:val="0"/>
          <w:bCs w:val="0"/>
          <w:color w:val="auto"/>
          <w:kern w:val="0"/>
          <w:sz w:val="30"/>
          <w:szCs w:val="30"/>
          <w:u w:val="none"/>
          <w:lang w:val="en-US" w:eastAsia="zh-CN" w:bidi="ar"/>
        </w:rPr>
        <w:t>干事创业</w:t>
      </w:r>
      <w:r>
        <w:rPr>
          <w:rFonts w:hint="eastAsia" w:ascii="仿宋" w:hAnsi="仿宋" w:eastAsia="仿宋" w:cs="仿宋"/>
          <w:b w:val="0"/>
          <w:bCs w:val="0"/>
          <w:color w:val="auto"/>
          <w:kern w:val="0"/>
          <w:sz w:val="30"/>
          <w:szCs w:val="30"/>
          <w:u w:val="none"/>
          <w:lang w:val="en-US" w:eastAsia="zh-CN" w:bidi="ar"/>
        </w:rPr>
        <w:t>的</w:t>
      </w:r>
      <w:r>
        <w:rPr>
          <w:rFonts w:hint="eastAsia" w:cs="仿宋"/>
          <w:b w:val="0"/>
          <w:bCs w:val="0"/>
          <w:color w:val="auto"/>
          <w:kern w:val="0"/>
          <w:sz w:val="30"/>
          <w:szCs w:val="30"/>
          <w:u w:val="none"/>
          <w:lang w:val="en-US" w:eastAsia="zh-CN" w:bidi="ar"/>
        </w:rPr>
        <w:t>主动性与创造性</w:t>
      </w:r>
      <w:r>
        <w:rPr>
          <w:rFonts w:hint="eastAsia" w:ascii="仿宋" w:hAnsi="仿宋" w:eastAsia="仿宋" w:cs="仿宋"/>
          <w:b w:val="0"/>
          <w:bCs w:val="0"/>
          <w:color w:val="auto"/>
          <w:kern w:val="0"/>
          <w:sz w:val="30"/>
          <w:szCs w:val="30"/>
          <w:u w:val="none"/>
          <w:lang w:val="en-US" w:eastAsia="zh-CN" w:bidi="ar"/>
        </w:rPr>
        <w:t>。</w:t>
      </w:r>
      <w:r>
        <w:rPr>
          <w:rFonts w:hint="eastAsia" w:ascii="仿宋" w:hAnsi="仿宋" w:eastAsia="仿宋" w:cs="仿宋"/>
          <w:b w:val="0"/>
          <w:bCs w:val="0"/>
          <w:color w:val="000000" w:themeColor="text1"/>
          <w:kern w:val="0"/>
          <w:sz w:val="30"/>
          <w:szCs w:val="30"/>
          <w:u w:val="none"/>
          <w:lang w:val="en-US" w:eastAsia="zh-CN" w:bidi="ar"/>
          <w14:textFill>
            <w14:solidFill>
              <w14:schemeClr w14:val="tx1"/>
            </w14:solidFill>
          </w14:textFill>
        </w:rPr>
        <w:t>加大对创新人才激励力度，完善人才奖励制度，</w:t>
      </w:r>
      <w:r>
        <w:rPr>
          <w:rFonts w:hint="eastAsia" w:cs="仿宋"/>
          <w:b w:val="0"/>
          <w:bCs w:val="0"/>
          <w:color w:val="000000" w:themeColor="text1"/>
          <w:kern w:val="0"/>
          <w:sz w:val="30"/>
          <w:szCs w:val="30"/>
          <w:u w:val="none"/>
          <w:lang w:val="en-US" w:eastAsia="zh-CN" w:bidi="ar"/>
          <w14:textFill>
            <w14:solidFill>
              <w14:schemeClr w14:val="tx1"/>
            </w14:solidFill>
          </w14:textFill>
        </w:rPr>
        <w:t>坚持把师德师风作为教师素质评价的首要标准；提高教学工作量报酬，加大对教师教学业绩的奖励力度，确保教学奖励与科研奖励相平衡，着</w:t>
      </w:r>
      <w:r>
        <w:rPr>
          <w:rFonts w:hint="eastAsia" w:ascii="仿宋" w:hAnsi="仿宋" w:eastAsia="仿宋" w:cs="仿宋"/>
          <w:b w:val="0"/>
          <w:bCs w:val="0"/>
          <w:color w:val="000000" w:themeColor="text1"/>
          <w:kern w:val="0"/>
          <w:sz w:val="30"/>
          <w:szCs w:val="30"/>
          <w:u w:val="none"/>
          <w:lang w:val="en-US" w:eastAsia="zh-CN" w:bidi="ar"/>
          <w14:textFill>
            <w14:solidFill>
              <w14:schemeClr w14:val="tx1"/>
            </w14:solidFill>
          </w14:textFill>
        </w:rPr>
        <w:t>力营造尊重劳动、尊重知识、尊重人才、尊重创造的良好氛围。完善权益保障与互助机制。</w:t>
      </w:r>
      <w:bookmarkEnd w:id="86"/>
      <w:bookmarkEnd w:id="87"/>
      <w:bookmarkEnd w:id="88"/>
      <w:bookmarkEnd w:id="89"/>
    </w:p>
    <w:p>
      <w:pPr>
        <w:pStyle w:val="2"/>
        <w:keepNext w:val="0"/>
        <w:keepLines w:val="0"/>
        <w:pageBreakBefore w:val="0"/>
        <w:widowControl w:val="0"/>
        <w:kinsoku/>
        <w:wordWrap/>
        <w:overflowPunct/>
        <w:topLinePunct w:val="0"/>
        <w:autoSpaceDE/>
        <w:autoSpaceDN/>
        <w:bidi w:val="0"/>
        <w:adjustRightInd/>
        <w:snapToGrid/>
        <w:spacing w:before="0" w:beforeAutospacing="0" w:afterAutospacing="0" w:line="520" w:lineRule="exact"/>
        <w:ind w:left="0" w:leftChars="0" w:right="0" w:firstLine="301" w:firstLineChars="100"/>
        <w:jc w:val="both"/>
        <w:textAlignment w:val="auto"/>
        <w:rPr>
          <w:rFonts w:hint="eastAsia" w:ascii="仿宋" w:hAnsi="仿宋" w:eastAsia="仿宋" w:cs="仿宋"/>
          <w:color w:val="FF0000"/>
          <w:sz w:val="30"/>
          <w:szCs w:val="30"/>
          <w:u w:val="none"/>
          <w:lang w:eastAsia="zh-CN"/>
        </w:rPr>
      </w:pPr>
      <w:bookmarkStart w:id="90" w:name="_Toc1556"/>
      <w:r>
        <w:rPr>
          <w:rFonts w:hint="eastAsia" w:ascii="仿宋" w:hAnsi="仿宋" w:eastAsia="仿宋" w:cs="仿宋"/>
          <w:color w:val="000000" w:themeColor="text1"/>
          <w:sz w:val="30"/>
          <w:szCs w:val="30"/>
          <w:u w:val="none"/>
          <w:lang w:eastAsia="zh-CN"/>
          <w14:textFill>
            <w14:solidFill>
              <w14:schemeClr w14:val="tx1"/>
            </w14:solidFill>
          </w14:textFill>
        </w:rPr>
        <w:t>（六）</w:t>
      </w:r>
      <w:r>
        <w:rPr>
          <w:rFonts w:hint="eastAsia" w:ascii="仿宋" w:hAnsi="仿宋" w:eastAsia="仿宋" w:cs="仿宋"/>
          <w:color w:val="FF0000"/>
          <w:sz w:val="30"/>
          <w:szCs w:val="30"/>
          <w:u w:val="none"/>
          <w:lang w:eastAsia="zh-CN"/>
        </w:rPr>
        <w:t>以</w:t>
      </w:r>
      <w:r>
        <w:rPr>
          <w:rFonts w:hint="eastAsia" w:ascii="仿宋" w:hAnsi="仿宋" w:eastAsia="仿宋" w:cs="仿宋"/>
          <w:b/>
          <w:bCs/>
          <w:color w:val="FF0000"/>
          <w:kern w:val="0"/>
          <w:sz w:val="30"/>
          <w:szCs w:val="30"/>
          <w:u w:val="none"/>
          <w:lang w:val="en-US" w:eastAsia="zh-CN" w:bidi="ar"/>
        </w:rPr>
        <w:t>行业产业</w:t>
      </w:r>
      <w:r>
        <w:rPr>
          <w:rFonts w:hint="eastAsia" w:ascii="仿宋" w:hAnsi="仿宋" w:eastAsia="仿宋" w:cs="仿宋"/>
          <w:color w:val="FF0000"/>
          <w:sz w:val="30"/>
          <w:szCs w:val="30"/>
          <w:u w:val="none"/>
          <w:lang w:eastAsia="zh-CN"/>
        </w:rPr>
        <w:t>需求为导向</w:t>
      </w:r>
      <w:r>
        <w:rPr>
          <w:rFonts w:hint="eastAsia" w:ascii="仿宋" w:hAnsi="仿宋" w:eastAsia="仿宋" w:cs="仿宋"/>
          <w:color w:val="FF0000"/>
          <w:sz w:val="30"/>
          <w:szCs w:val="30"/>
          <w:u w:val="none"/>
        </w:rPr>
        <w:t>，</w:t>
      </w:r>
      <w:r>
        <w:rPr>
          <w:rFonts w:hint="eastAsia" w:ascii="仿宋" w:hAnsi="仿宋" w:eastAsia="仿宋" w:cs="仿宋"/>
          <w:color w:val="FF0000"/>
          <w:sz w:val="30"/>
          <w:szCs w:val="30"/>
          <w:u w:val="none"/>
          <w:lang w:eastAsia="zh-CN"/>
        </w:rPr>
        <w:t>实现社会服务能力新提升</w:t>
      </w:r>
      <w:bookmarkEnd w:id="90"/>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602" w:firstLineChars="200"/>
        <w:jc w:val="both"/>
        <w:textAlignment w:val="auto"/>
        <w:outlineLvl w:val="2"/>
        <w:rPr>
          <w:rFonts w:hint="eastAsia" w:ascii="仿宋" w:hAnsi="仿宋" w:eastAsia="仿宋" w:cs="仿宋"/>
          <w:b/>
          <w:bCs/>
          <w:color w:val="000000" w:themeColor="text1"/>
          <w:kern w:val="0"/>
          <w:sz w:val="30"/>
          <w:szCs w:val="30"/>
          <w:u w:val="none"/>
          <w:lang w:val="en-US" w:eastAsia="zh-CN" w:bidi="ar"/>
          <w14:textFill>
            <w14:solidFill>
              <w14:schemeClr w14:val="tx1"/>
            </w14:solidFill>
          </w14:textFill>
        </w:rPr>
      </w:pPr>
      <w:bookmarkStart w:id="91" w:name="_Toc8181"/>
      <w:r>
        <w:rPr>
          <w:rFonts w:hint="eastAsia" w:ascii="仿宋" w:hAnsi="仿宋" w:eastAsia="仿宋" w:cs="仿宋"/>
          <w:b/>
          <w:bCs/>
          <w:color w:val="000000" w:themeColor="text1"/>
          <w:kern w:val="0"/>
          <w:sz w:val="30"/>
          <w:szCs w:val="30"/>
          <w:u w:val="none"/>
          <w:lang w:val="en-US" w:eastAsia="zh-CN" w:bidi="ar"/>
          <w14:textFill>
            <w14:solidFill>
              <w14:schemeClr w14:val="tx1"/>
            </w14:solidFill>
          </w14:textFill>
        </w:rPr>
        <w:t>1.聚焦科技创新前沿，打造高水平科技创新人才团队</w:t>
      </w:r>
      <w:r>
        <w:rPr>
          <w:rFonts w:hint="eastAsia" w:ascii="仿宋" w:hAnsi="仿宋" w:eastAsia="仿宋" w:cs="仿宋"/>
          <w:b/>
          <w:bCs/>
          <w:color w:val="FF0000"/>
          <w:kern w:val="0"/>
          <w:sz w:val="30"/>
          <w:szCs w:val="30"/>
          <w:u w:val="none"/>
          <w:lang w:val="en-US" w:eastAsia="zh-CN" w:bidi="ar"/>
        </w:rPr>
        <w:t>新实力</w:t>
      </w:r>
      <w:bookmarkEnd w:id="91"/>
    </w:p>
    <w:p>
      <w:pPr>
        <w:keepNext w:val="0"/>
        <w:keepLines w:val="0"/>
        <w:pageBreakBefore w:val="0"/>
        <w:widowControl/>
        <w:suppressLineNumbers w:val="0"/>
        <w:kinsoku/>
        <w:wordWrap/>
        <w:overflowPunct/>
        <w:topLinePunct w:val="0"/>
        <w:autoSpaceDE/>
        <w:autoSpaceDN/>
        <w:bidi w:val="0"/>
        <w:adjustRightInd/>
        <w:snapToGrid/>
        <w:spacing w:line="520" w:lineRule="exact"/>
        <w:ind w:left="0" w:leftChars="0" w:firstLine="600" w:firstLineChars="200"/>
        <w:jc w:val="both"/>
        <w:textAlignment w:val="auto"/>
        <w:rPr>
          <w:rFonts w:hint="eastAsia" w:ascii="仿宋" w:hAnsi="仿宋" w:eastAsia="仿宋" w:cs="仿宋"/>
          <w:b w:val="0"/>
          <w:bCs w:val="0"/>
          <w:color w:val="000000" w:themeColor="text1"/>
          <w:kern w:val="0"/>
          <w:sz w:val="30"/>
          <w:szCs w:val="30"/>
          <w:u w:val="none"/>
          <w:lang w:val="en-US" w:eastAsia="zh-CN" w:bidi="ar"/>
          <w14:textFill>
            <w14:solidFill>
              <w14:schemeClr w14:val="tx1"/>
            </w14:solidFill>
          </w14:textFill>
        </w:rPr>
      </w:pPr>
      <w:r>
        <w:rPr>
          <w:rFonts w:hint="eastAsia" w:ascii="仿宋" w:hAnsi="仿宋" w:eastAsia="仿宋" w:cs="仿宋"/>
          <w:b w:val="0"/>
          <w:bCs w:val="0"/>
          <w:color w:val="000000" w:themeColor="text1"/>
          <w:kern w:val="0"/>
          <w:sz w:val="30"/>
          <w:szCs w:val="30"/>
          <w:u w:val="none"/>
          <w:lang w:val="en-US" w:eastAsia="zh-CN" w:bidi="ar"/>
          <w14:textFill>
            <w14:solidFill>
              <w14:schemeClr w14:val="tx1"/>
            </w14:solidFill>
          </w14:textFill>
        </w:rPr>
        <w:t>坚持引进和培养相结合，汇聚领军人才，加强学科间的交叉融合，与地方政府、企事业单位等紧密合作，打造一批从事基础理论研究、应用研究和服务推广的多层次、多类型科技创新团队。“十四五”时期力争入围河南省高校科技创新人才支持计划与科技创新人才计划2-3人，新增 35个以上科技创新团队，2­3个省部级以上创新团队。推动新型智库建设，重点建设集调查、研究、咨询、服务于一体的“三农”高端智库，着力打造一支高水平决策咨询队伍，取得一批有重大影响的研究成果。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602" w:firstLineChars="200"/>
        <w:jc w:val="both"/>
        <w:textAlignment w:val="auto"/>
        <w:outlineLvl w:val="2"/>
        <w:rPr>
          <w:rFonts w:hint="eastAsia" w:ascii="仿宋" w:hAnsi="仿宋" w:eastAsia="仿宋" w:cs="仿宋"/>
          <w:b/>
          <w:bCs/>
          <w:color w:val="000000" w:themeColor="text1"/>
          <w:kern w:val="0"/>
          <w:sz w:val="30"/>
          <w:szCs w:val="30"/>
          <w:u w:val="none"/>
          <w:lang w:val="en-US" w:eastAsia="zh-CN" w:bidi="ar"/>
          <w14:textFill>
            <w14:solidFill>
              <w14:schemeClr w14:val="tx1"/>
            </w14:solidFill>
          </w14:textFill>
        </w:rPr>
      </w:pPr>
      <w:bookmarkStart w:id="92" w:name="_Toc9316"/>
      <w:r>
        <w:rPr>
          <w:rFonts w:hint="eastAsia" w:ascii="仿宋" w:hAnsi="仿宋" w:eastAsia="仿宋" w:cs="仿宋"/>
          <w:b/>
          <w:bCs/>
          <w:color w:val="000000" w:themeColor="text1"/>
          <w:kern w:val="0"/>
          <w:sz w:val="30"/>
          <w:szCs w:val="30"/>
          <w:u w:val="none"/>
          <w:lang w:val="en-US" w:eastAsia="zh-CN" w:bidi="ar"/>
          <w14:textFill>
            <w14:solidFill>
              <w14:schemeClr w14:val="tx1"/>
            </w14:solidFill>
          </w14:textFill>
        </w:rPr>
        <w:t>2.聚焦持续创新能力，搭建科教协同育人</w:t>
      </w:r>
      <w:r>
        <w:rPr>
          <w:rFonts w:hint="eastAsia" w:ascii="仿宋" w:hAnsi="仿宋" w:eastAsia="仿宋" w:cs="仿宋"/>
          <w:b/>
          <w:bCs/>
          <w:color w:val="FF0000"/>
          <w:kern w:val="0"/>
          <w:sz w:val="30"/>
          <w:szCs w:val="30"/>
          <w:u w:val="none"/>
          <w:lang w:val="en-US" w:eastAsia="zh-CN" w:bidi="ar"/>
        </w:rPr>
        <w:t>新平台</w:t>
      </w:r>
      <w:bookmarkEnd w:id="92"/>
    </w:p>
    <w:p>
      <w:pPr>
        <w:keepNext w:val="0"/>
        <w:keepLines w:val="0"/>
        <w:pageBreakBefore w:val="0"/>
        <w:kinsoku/>
        <w:wordWrap/>
        <w:overflowPunct/>
        <w:topLinePunct w:val="0"/>
        <w:autoSpaceDE/>
        <w:autoSpaceDN/>
        <w:bidi w:val="0"/>
        <w:adjustRightInd/>
        <w:snapToGrid/>
        <w:spacing w:line="520" w:lineRule="exact"/>
        <w:ind w:left="0" w:leftChars="0" w:firstLine="602" w:firstLineChars="200"/>
        <w:textAlignment w:val="auto"/>
        <w:rPr>
          <w:rFonts w:hint="eastAsia" w:ascii="仿宋" w:hAnsi="仿宋" w:eastAsia="仿宋" w:cs="仿宋"/>
          <w:b w:val="0"/>
          <w:bCs w:val="0"/>
          <w:color w:val="000000" w:themeColor="text1"/>
          <w:kern w:val="0"/>
          <w:sz w:val="30"/>
          <w:szCs w:val="30"/>
          <w:u w:val="none"/>
          <w:lang w:val="en-US" w:eastAsia="zh-CN" w:bidi="ar"/>
          <w14:textFill>
            <w14:solidFill>
              <w14:schemeClr w14:val="tx1"/>
            </w14:solidFill>
          </w14:textFill>
        </w:rPr>
      </w:pPr>
      <w:r>
        <w:rPr>
          <w:rFonts w:hint="eastAsia" w:ascii="仿宋" w:hAnsi="仿宋" w:eastAsia="仿宋" w:cs="仿宋"/>
          <w:b/>
          <w:bCs/>
          <w:color w:val="000000" w:themeColor="text1"/>
          <w:kern w:val="0"/>
          <w:sz w:val="30"/>
          <w:szCs w:val="30"/>
          <w:u w:val="none"/>
          <w:lang w:val="en-US" w:eastAsia="zh-CN" w:bidi="ar"/>
          <w14:textFill>
            <w14:solidFill>
              <w14:schemeClr w14:val="tx1"/>
            </w14:solidFill>
          </w14:textFill>
        </w:rPr>
        <w:t>建设高水平科技创新平台。</w:t>
      </w:r>
      <w:r>
        <w:rPr>
          <w:rFonts w:hint="eastAsia" w:ascii="仿宋" w:hAnsi="仿宋" w:eastAsia="仿宋" w:cs="仿宋"/>
          <w:b w:val="0"/>
          <w:bCs w:val="0"/>
          <w:color w:val="000000" w:themeColor="text1"/>
          <w:kern w:val="0"/>
          <w:sz w:val="30"/>
          <w:szCs w:val="30"/>
          <w:u w:val="none"/>
          <w:lang w:val="en-US" w:eastAsia="zh-CN" w:bidi="ar"/>
          <w14:textFill>
            <w14:solidFill>
              <w14:schemeClr w14:val="tx1"/>
            </w14:solidFill>
          </w14:textFill>
        </w:rPr>
        <w:t>依托工程技术研究中心、省级协同创新中心、产业技术创新战略联盟，建设高层次研究平台体系，并以此带动全校省部级重点实验室、工程技术中心等平台建设。以</w:t>
      </w:r>
      <w:r>
        <w:rPr>
          <w:rFonts w:hint="eastAsia" w:ascii="仿宋" w:hAnsi="仿宋" w:eastAsia="仿宋" w:cs="仿宋"/>
          <w:color w:val="000000" w:themeColor="text1"/>
          <w:sz w:val="30"/>
          <w:szCs w:val="30"/>
          <w:u w:val="none"/>
          <w14:textFill>
            <w14:solidFill>
              <w14:schemeClr w14:val="tx1"/>
            </w14:solidFill>
          </w14:textFill>
        </w:rPr>
        <w:t>农、林、牧、渔、茶</w:t>
      </w:r>
      <w:r>
        <w:rPr>
          <w:rFonts w:hint="eastAsia" w:ascii="仿宋" w:hAnsi="仿宋" w:eastAsia="仿宋" w:cs="仿宋"/>
          <w:b w:val="0"/>
          <w:bCs w:val="0"/>
          <w:color w:val="000000" w:themeColor="text1"/>
          <w:kern w:val="0"/>
          <w:sz w:val="30"/>
          <w:szCs w:val="30"/>
          <w:u w:val="none"/>
          <w:lang w:val="en-US" w:eastAsia="zh-CN" w:bidi="ar"/>
          <w14:textFill>
            <w14:solidFill>
              <w14:schemeClr w14:val="tx1"/>
            </w14:solidFill>
          </w14:textFill>
        </w:rPr>
        <w:t>优势学科为重点，加大学科共性创新平台建设。</w:t>
      </w:r>
      <w:r>
        <w:rPr>
          <w:rFonts w:hint="eastAsia" w:ascii="仿宋" w:hAnsi="仿宋" w:eastAsia="仿宋" w:cs="仿宋"/>
          <w:b/>
          <w:bCs/>
          <w:color w:val="000000" w:themeColor="text1"/>
          <w:kern w:val="0"/>
          <w:sz w:val="30"/>
          <w:szCs w:val="30"/>
          <w:u w:val="none"/>
          <w:lang w:val="en-US" w:eastAsia="zh-CN" w:bidi="ar"/>
          <w14:textFill>
            <w14:solidFill>
              <w14:schemeClr w14:val="tx1"/>
            </w14:solidFill>
          </w14:textFill>
        </w:rPr>
        <w:t>深化校地协同，完善产学研协同创新平台</w:t>
      </w:r>
      <w:r>
        <w:rPr>
          <w:rFonts w:hint="eastAsia" w:ascii="仿宋" w:hAnsi="仿宋" w:eastAsia="仿宋" w:cs="仿宋"/>
          <w:b w:val="0"/>
          <w:bCs w:val="0"/>
          <w:color w:val="000000" w:themeColor="text1"/>
          <w:kern w:val="0"/>
          <w:sz w:val="30"/>
          <w:szCs w:val="30"/>
          <w:u w:val="none"/>
          <w:lang w:val="en-US" w:eastAsia="zh-CN" w:bidi="ar"/>
          <w14:textFill>
            <w14:solidFill>
              <w14:schemeClr w14:val="tx1"/>
            </w14:solidFill>
          </w14:textFill>
        </w:rPr>
        <w:t>。依托鸡公山农科教人才培养基地建设等国家级农科教合作人才培养基地建设</w:t>
      </w:r>
      <w:r>
        <w:rPr>
          <w:rFonts w:hint="eastAsia" w:ascii="仿宋" w:hAnsi="仿宋" w:eastAsia="仿宋" w:cs="仿宋"/>
          <w:b/>
          <w:bCs/>
          <w:color w:val="000000" w:themeColor="text1"/>
          <w:kern w:val="0"/>
          <w:sz w:val="30"/>
          <w:szCs w:val="30"/>
          <w:u w:val="none"/>
          <w:lang w:val="en-US" w:eastAsia="zh-CN" w:bidi="ar"/>
          <w14:textFill>
            <w14:solidFill>
              <w14:schemeClr w14:val="tx1"/>
            </w14:solidFill>
          </w14:textFill>
        </w:rPr>
        <w:t>，</w:t>
      </w:r>
      <w:r>
        <w:rPr>
          <w:rFonts w:hint="eastAsia" w:ascii="仿宋" w:hAnsi="仿宋" w:eastAsia="仿宋" w:cs="仿宋"/>
          <w:b w:val="0"/>
          <w:bCs w:val="0"/>
          <w:color w:val="000000" w:themeColor="text1"/>
          <w:kern w:val="0"/>
          <w:sz w:val="30"/>
          <w:szCs w:val="30"/>
          <w:u w:val="none"/>
          <w:lang w:val="en-US" w:eastAsia="zh-CN" w:bidi="ar"/>
          <w14:textFill>
            <w14:solidFill>
              <w14:schemeClr w14:val="tx1"/>
            </w14:solidFill>
          </w14:textFill>
        </w:rPr>
        <w:t>构建以我校为依托、以合作共建为主线、集“产、学、研、转、创、用”于一体，</w:t>
      </w:r>
      <w:r>
        <w:rPr>
          <w:rFonts w:hint="eastAsia" w:ascii="仿宋" w:hAnsi="仿宋" w:eastAsia="仿宋" w:cs="仿宋"/>
          <w:b w:val="0"/>
          <w:bCs w:val="0"/>
          <w:color w:val="FF0000"/>
          <w:kern w:val="0"/>
          <w:sz w:val="30"/>
          <w:szCs w:val="30"/>
          <w:u w:val="none"/>
          <w:lang w:val="en-US" w:eastAsia="zh-CN" w:bidi="ar"/>
        </w:rPr>
        <w:t>实现</w:t>
      </w:r>
      <w:r>
        <w:rPr>
          <w:rFonts w:hint="eastAsia" w:ascii="仿宋" w:hAnsi="仿宋" w:eastAsia="仿宋" w:cs="仿宋"/>
          <w:b w:val="0"/>
          <w:bCs w:val="0"/>
          <w:color w:val="000000" w:themeColor="text1"/>
          <w:kern w:val="0"/>
          <w:sz w:val="30"/>
          <w:szCs w:val="30"/>
          <w:u w:val="none"/>
          <w:lang w:val="en-US" w:eastAsia="zh-CN" w:bidi="ar"/>
          <w14:textFill>
            <w14:solidFill>
              <w14:schemeClr w14:val="tx1"/>
            </w14:solidFill>
          </w14:textFill>
        </w:rPr>
        <w:t>互补互利、互动多赢的农林产教融合示范基地。积极与有关行业企业、科研院所开展产学研合作，共建产业技术研究院、科研创新团队、重点实验室与基础设施平台、大学生校外实践基地。探索</w:t>
      </w:r>
      <w:r>
        <w:rPr>
          <w:rFonts w:hint="eastAsia" w:ascii="仿宋" w:hAnsi="仿宋" w:eastAsia="仿宋" w:cs="仿宋"/>
          <w:b w:val="0"/>
          <w:bCs w:val="0"/>
          <w:color w:val="FF0000"/>
          <w:kern w:val="0"/>
          <w:sz w:val="30"/>
          <w:szCs w:val="30"/>
          <w:u w:val="none"/>
          <w:lang w:val="en-US" w:eastAsia="zh-CN" w:bidi="ar"/>
        </w:rPr>
        <w:t>和完善</w:t>
      </w:r>
      <w:r>
        <w:rPr>
          <w:rFonts w:hint="eastAsia" w:ascii="仿宋" w:hAnsi="仿宋" w:eastAsia="仿宋" w:cs="仿宋"/>
          <w:b w:val="0"/>
          <w:bCs w:val="0"/>
          <w:color w:val="000000" w:themeColor="text1"/>
          <w:kern w:val="0"/>
          <w:sz w:val="30"/>
          <w:szCs w:val="30"/>
          <w:u w:val="none"/>
          <w:lang w:val="en-US" w:eastAsia="zh-CN" w:bidi="ar"/>
          <w14:textFill>
            <w14:solidFill>
              <w14:schemeClr w14:val="tx1"/>
            </w14:solidFill>
          </w14:textFill>
        </w:rPr>
        <w:t>产业链、创新链、教育链有机衔接机制，深度融入行业企业创新体系，拓展办学空间，</w:t>
      </w:r>
      <w:r>
        <w:rPr>
          <w:rFonts w:hint="eastAsia" w:ascii="仿宋" w:hAnsi="仿宋" w:eastAsia="仿宋" w:cs="仿宋"/>
          <w:b w:val="0"/>
          <w:bCs w:val="0"/>
          <w:color w:val="FF0000"/>
          <w:kern w:val="0"/>
          <w:sz w:val="30"/>
          <w:szCs w:val="30"/>
          <w:u w:val="none"/>
          <w:lang w:val="en-US" w:eastAsia="zh-CN" w:bidi="ar"/>
        </w:rPr>
        <w:t>融入</w:t>
      </w:r>
      <w:r>
        <w:rPr>
          <w:rFonts w:hint="eastAsia" w:ascii="仿宋" w:hAnsi="仿宋" w:eastAsia="仿宋" w:cs="仿宋"/>
          <w:b w:val="0"/>
          <w:bCs w:val="0"/>
          <w:color w:val="000000" w:themeColor="text1"/>
          <w:kern w:val="0"/>
          <w:sz w:val="30"/>
          <w:szCs w:val="30"/>
          <w:u w:val="none"/>
          <w:lang w:val="en-US" w:eastAsia="zh-CN" w:bidi="ar"/>
          <w14:textFill>
            <w14:solidFill>
              <w14:schemeClr w14:val="tx1"/>
            </w14:solidFill>
          </w14:textFill>
        </w:rPr>
        <w:t>行业产业优质办学资源，提升学校服务行业产业发展能力。</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20" w:lineRule="exact"/>
        <w:ind w:left="0" w:leftChars="0" w:firstLine="602" w:firstLineChars="200"/>
        <w:jc w:val="both"/>
        <w:textAlignment w:val="auto"/>
        <w:outlineLvl w:val="2"/>
        <w:rPr>
          <w:rFonts w:hint="eastAsia" w:ascii="仿宋" w:hAnsi="仿宋" w:eastAsia="仿宋" w:cs="仿宋"/>
          <w:b/>
          <w:bCs/>
          <w:color w:val="000000" w:themeColor="text1"/>
          <w:kern w:val="0"/>
          <w:sz w:val="30"/>
          <w:szCs w:val="30"/>
          <w:u w:val="none"/>
          <w:lang w:val="en-US" w:eastAsia="zh-CN" w:bidi="ar"/>
          <w14:textFill>
            <w14:solidFill>
              <w14:schemeClr w14:val="tx1"/>
            </w14:solidFill>
          </w14:textFill>
        </w:rPr>
      </w:pPr>
      <w:bookmarkStart w:id="93" w:name="_Toc23505"/>
      <w:r>
        <w:rPr>
          <w:rFonts w:hint="eastAsia" w:ascii="仿宋" w:hAnsi="仿宋" w:eastAsia="仿宋" w:cs="仿宋"/>
          <w:b/>
          <w:bCs/>
          <w:color w:val="000000" w:themeColor="text1"/>
          <w:kern w:val="0"/>
          <w:sz w:val="30"/>
          <w:szCs w:val="30"/>
          <w:u w:val="none"/>
          <w:lang w:val="en-US" w:eastAsia="zh-CN" w:bidi="ar"/>
          <w14:textFill>
            <w14:solidFill>
              <w14:schemeClr w14:val="tx1"/>
            </w14:solidFill>
          </w14:textFill>
        </w:rPr>
        <w:t>3.聚焦区域发展战略，提升社会服务能力</w:t>
      </w:r>
      <w:r>
        <w:rPr>
          <w:rFonts w:hint="eastAsia" w:ascii="仿宋" w:hAnsi="仿宋" w:eastAsia="仿宋" w:cs="仿宋"/>
          <w:b/>
          <w:bCs/>
          <w:color w:val="FF0000"/>
          <w:kern w:val="0"/>
          <w:sz w:val="30"/>
          <w:szCs w:val="30"/>
          <w:u w:val="none"/>
          <w:lang w:val="en-US" w:eastAsia="zh-CN" w:bidi="ar"/>
        </w:rPr>
        <w:t>新标杆</w:t>
      </w:r>
      <w:bookmarkEnd w:id="93"/>
    </w:p>
    <w:p>
      <w:pPr>
        <w:keepNext w:val="0"/>
        <w:keepLines w:val="0"/>
        <w:pageBreakBefore w:val="0"/>
        <w:widowControl/>
        <w:suppressLineNumbers w:val="0"/>
        <w:kinsoku/>
        <w:wordWrap/>
        <w:overflowPunct/>
        <w:topLinePunct w:val="0"/>
        <w:autoSpaceDE/>
        <w:autoSpaceDN/>
        <w:bidi w:val="0"/>
        <w:adjustRightInd/>
        <w:snapToGrid/>
        <w:spacing w:line="520" w:lineRule="exact"/>
        <w:ind w:left="0" w:leftChars="0" w:firstLine="602" w:firstLineChars="200"/>
        <w:jc w:val="both"/>
        <w:textAlignment w:val="auto"/>
        <w:rPr>
          <w:rFonts w:hint="eastAsia" w:ascii="仿宋" w:hAnsi="仿宋" w:eastAsia="仿宋" w:cs="仿宋"/>
          <w:b w:val="0"/>
          <w:bCs w:val="0"/>
          <w:color w:val="000000" w:themeColor="text1"/>
          <w:kern w:val="0"/>
          <w:sz w:val="30"/>
          <w:szCs w:val="30"/>
          <w:u w:val="none"/>
          <w:lang w:val="en-US" w:eastAsia="zh-CN" w:bidi="ar"/>
          <w14:textFill>
            <w14:solidFill>
              <w14:schemeClr w14:val="tx1"/>
            </w14:solidFill>
          </w14:textFill>
        </w:rPr>
      </w:pPr>
      <w:r>
        <w:rPr>
          <w:rFonts w:hint="eastAsia" w:ascii="仿宋" w:hAnsi="仿宋" w:eastAsia="仿宋" w:cs="仿宋"/>
          <w:b/>
          <w:bCs/>
          <w:color w:val="000000" w:themeColor="text1"/>
          <w:kern w:val="0"/>
          <w:sz w:val="30"/>
          <w:szCs w:val="30"/>
          <w:u w:val="none"/>
          <w:lang w:val="en-US" w:eastAsia="zh-CN" w:bidi="ar"/>
          <w14:textFill>
            <w14:solidFill>
              <w14:schemeClr w14:val="tx1"/>
            </w14:solidFill>
          </w14:textFill>
        </w:rPr>
        <w:t>围绕国家和地方重大战略需求，发挥学校办学优势，进一步提升科技服务能力。</w:t>
      </w:r>
      <w:r>
        <w:rPr>
          <w:rFonts w:hint="eastAsia" w:ascii="仿宋" w:hAnsi="仿宋" w:eastAsia="仿宋" w:cs="仿宋"/>
          <w:b w:val="0"/>
          <w:bCs w:val="0"/>
          <w:color w:val="000000" w:themeColor="text1"/>
          <w:kern w:val="0"/>
          <w:sz w:val="30"/>
          <w:szCs w:val="30"/>
          <w:u w:val="none"/>
          <w:lang w:val="en-US" w:eastAsia="zh-CN" w:bidi="ar"/>
          <w14:textFill>
            <w14:solidFill>
              <w14:schemeClr w14:val="tx1"/>
            </w14:solidFill>
          </w14:textFill>
        </w:rPr>
        <w:t>依托大别山革命老区发展研究院、</w:t>
      </w:r>
      <w:r>
        <w:rPr>
          <w:rFonts w:hint="eastAsia" w:ascii="仿宋" w:hAnsi="仿宋" w:eastAsia="仿宋" w:cs="仿宋"/>
          <w:b w:val="0"/>
          <w:bCs w:val="0"/>
          <w:color w:val="auto"/>
          <w:kern w:val="0"/>
          <w:sz w:val="30"/>
          <w:szCs w:val="30"/>
          <w:u w:val="none"/>
          <w:lang w:val="en-US" w:eastAsia="zh-CN" w:bidi="ar"/>
        </w:rPr>
        <w:t>大别山文化研究院、信</w:t>
      </w:r>
      <w:r>
        <w:rPr>
          <w:rFonts w:hint="eastAsia" w:ascii="仿宋" w:hAnsi="仿宋" w:eastAsia="仿宋" w:cs="仿宋"/>
          <w:b w:val="0"/>
          <w:bCs w:val="0"/>
          <w:color w:val="000000" w:themeColor="text1"/>
          <w:kern w:val="0"/>
          <w:sz w:val="30"/>
          <w:szCs w:val="30"/>
          <w:u w:val="none"/>
          <w:lang w:val="en-US" w:eastAsia="zh-CN" w:bidi="ar"/>
          <w14:textFill>
            <w14:solidFill>
              <w14:schemeClr w14:val="tx1"/>
            </w14:solidFill>
          </w14:textFill>
        </w:rPr>
        <w:t>阳市淮河生态经济研究院等平台，从文化旅游、互联互通、资源环境、乡村振兴与产业转型、科技教育、生态农林等方面，服务</w:t>
      </w:r>
      <w:r>
        <w:rPr>
          <w:rFonts w:hint="eastAsia" w:ascii="仿宋" w:hAnsi="仿宋" w:eastAsia="仿宋" w:cs="仿宋"/>
          <w:b w:val="0"/>
          <w:bCs w:val="0"/>
          <w:color w:val="auto"/>
          <w:kern w:val="0"/>
          <w:sz w:val="30"/>
          <w:szCs w:val="30"/>
          <w:u w:val="none"/>
          <w:lang w:val="en-US" w:eastAsia="zh-CN" w:bidi="ar"/>
        </w:rPr>
        <w:t>和支持</w:t>
      </w:r>
      <w:r>
        <w:rPr>
          <w:rFonts w:hint="eastAsia" w:ascii="仿宋" w:hAnsi="仿宋" w:eastAsia="仿宋" w:cs="仿宋"/>
          <w:b w:val="0"/>
          <w:bCs w:val="0"/>
          <w:color w:val="000000" w:themeColor="text1"/>
          <w:kern w:val="0"/>
          <w:sz w:val="30"/>
          <w:szCs w:val="30"/>
          <w:u w:val="none"/>
          <w:lang w:val="en-US" w:eastAsia="zh-CN" w:bidi="ar"/>
          <w14:textFill>
            <w14:solidFill>
              <w14:schemeClr w14:val="tx1"/>
            </w14:solidFill>
          </w14:textFill>
        </w:rPr>
        <w:t>大别山革命老区振兴发展</w:t>
      </w:r>
      <w:r>
        <w:rPr>
          <w:rFonts w:hint="eastAsia" w:ascii="仿宋" w:hAnsi="仿宋" w:eastAsia="仿宋" w:cs="仿宋"/>
          <w:b w:val="0"/>
          <w:bCs w:val="0"/>
          <w:color w:val="auto"/>
          <w:kern w:val="0"/>
          <w:sz w:val="30"/>
          <w:szCs w:val="30"/>
          <w:u w:val="none"/>
          <w:lang w:val="en-US" w:eastAsia="zh-CN" w:bidi="ar"/>
        </w:rPr>
        <w:t>及</w:t>
      </w:r>
      <w:r>
        <w:rPr>
          <w:rFonts w:hint="eastAsia" w:ascii="仿宋" w:hAnsi="仿宋" w:eastAsia="仿宋" w:cs="仿宋"/>
          <w:b w:val="0"/>
          <w:bCs w:val="0"/>
          <w:color w:val="000000" w:themeColor="text1"/>
          <w:kern w:val="0"/>
          <w:sz w:val="30"/>
          <w:szCs w:val="30"/>
          <w:u w:val="none"/>
          <w:lang w:val="en-US" w:eastAsia="zh-CN" w:bidi="ar"/>
          <w14:textFill>
            <w14:solidFill>
              <w14:schemeClr w14:val="tx1"/>
            </w14:solidFill>
          </w14:textFill>
        </w:rPr>
        <w:t>淮河生态经济高质量发展与生态文明建设。深化校地校企合作，开展混合所有制办学改革，与大型企业和社会资金合作举办混合所有制性质的二级学院（产业学院），依托各产业学院和继续教育学院等合作平台，联合开展校地、校企合作</w:t>
      </w:r>
      <w:r>
        <w:rPr>
          <w:rFonts w:hint="eastAsia" w:ascii="仿宋" w:hAnsi="仿宋" w:eastAsia="仿宋" w:cs="仿宋"/>
          <w:b w:val="0"/>
          <w:bCs w:val="0"/>
          <w:color w:val="0000FF"/>
          <w:kern w:val="0"/>
          <w:sz w:val="30"/>
          <w:szCs w:val="30"/>
          <w:u w:val="none"/>
          <w:lang w:val="en-US" w:eastAsia="zh-CN" w:bidi="ar"/>
        </w:rPr>
        <w:t>和新型农林人才培养培训</w:t>
      </w:r>
      <w:r>
        <w:rPr>
          <w:rFonts w:hint="eastAsia" w:ascii="仿宋" w:hAnsi="仿宋" w:eastAsia="仿宋" w:cs="仿宋"/>
          <w:b w:val="0"/>
          <w:bCs w:val="0"/>
          <w:color w:val="000000" w:themeColor="text1"/>
          <w:kern w:val="0"/>
          <w:sz w:val="30"/>
          <w:szCs w:val="30"/>
          <w:u w:val="none"/>
          <w:lang w:val="en-US" w:eastAsia="zh-CN" w:bidi="ar"/>
          <w14:textFill>
            <w14:solidFill>
              <w14:schemeClr w14:val="tx1"/>
            </w14:solidFill>
          </w14:textFill>
        </w:rPr>
        <w:t>，共享产学研合作成果，发挥产学研合作示范影响力，提升服务产业能力。发挥科技服务团队作用，到2025年新建自然科学类科技服务团队30个以上，人文社科类智库10个以上；加强校地接对帮扶，主动融入大别山区红色基因库建设项目，发挥学科专业优势，支持大别山精神博物馆建设以及长征国家文化公园（河南段）建设等规划项目，为支持信阳大别山革命老区振兴发展提供人才、技术与智力支持。打通基础研究、应用开发、成果转移与产业化链条，建立健全市场导向、社会资本参与、多要素深度融合的成果应用转化机制，</w:t>
      </w:r>
      <w:r>
        <w:rPr>
          <w:rFonts w:hint="eastAsia" w:ascii="仿宋" w:hAnsi="仿宋" w:eastAsia="仿宋" w:cs="仿宋"/>
          <w:b w:val="0"/>
          <w:bCs w:val="0"/>
          <w:color w:val="FF0000"/>
          <w:kern w:val="0"/>
          <w:sz w:val="30"/>
          <w:szCs w:val="30"/>
          <w:u w:val="none"/>
          <w:lang w:val="en-US" w:eastAsia="zh-CN" w:bidi="ar"/>
        </w:rPr>
        <w:t>促进科技成果转化应用</w:t>
      </w:r>
      <w:r>
        <w:rPr>
          <w:rFonts w:hint="eastAsia" w:ascii="仿宋" w:hAnsi="仿宋" w:eastAsia="仿宋" w:cs="仿宋"/>
          <w:b w:val="0"/>
          <w:bCs w:val="0"/>
          <w:color w:val="000000" w:themeColor="text1"/>
          <w:kern w:val="0"/>
          <w:sz w:val="30"/>
          <w:szCs w:val="30"/>
          <w:u w:val="none"/>
          <w:lang w:val="en-US" w:eastAsia="zh-CN" w:bidi="ar"/>
          <w14:textFill>
            <w14:solidFill>
              <w14:schemeClr w14:val="tx1"/>
            </w14:solidFill>
          </w14:textFill>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20" w:lineRule="exact"/>
        <w:ind w:left="0" w:leftChars="0" w:firstLine="602" w:firstLineChars="200"/>
        <w:jc w:val="both"/>
        <w:textAlignment w:val="auto"/>
        <w:outlineLvl w:val="2"/>
        <w:rPr>
          <w:rFonts w:hint="eastAsia" w:ascii="仿宋" w:hAnsi="仿宋" w:eastAsia="仿宋" w:cs="仿宋"/>
          <w:b/>
          <w:bCs/>
          <w:color w:val="000000" w:themeColor="text1"/>
          <w:kern w:val="0"/>
          <w:sz w:val="30"/>
          <w:szCs w:val="30"/>
          <w:u w:val="none"/>
          <w:lang w:val="en-US" w:eastAsia="zh-CN" w:bidi="ar"/>
          <w14:textFill>
            <w14:solidFill>
              <w14:schemeClr w14:val="tx1"/>
            </w14:solidFill>
          </w14:textFill>
        </w:rPr>
      </w:pPr>
      <w:bookmarkStart w:id="94" w:name="_Toc30347"/>
      <w:r>
        <w:rPr>
          <w:rFonts w:hint="eastAsia" w:ascii="仿宋" w:hAnsi="仿宋" w:eastAsia="仿宋" w:cs="仿宋"/>
          <w:b/>
          <w:bCs/>
          <w:color w:val="000000" w:themeColor="text1"/>
          <w:kern w:val="0"/>
          <w:sz w:val="30"/>
          <w:szCs w:val="30"/>
          <w:u w:val="none"/>
          <w:lang w:val="en-US" w:eastAsia="zh-CN" w:bidi="ar"/>
          <w14:textFill>
            <w14:solidFill>
              <w14:schemeClr w14:val="tx1"/>
            </w14:solidFill>
          </w14:textFill>
        </w:rPr>
        <w:t>4.聚焦科研水平提升，</w:t>
      </w:r>
      <w:r>
        <w:rPr>
          <w:rFonts w:hint="eastAsia" w:ascii="仿宋" w:hAnsi="仿宋" w:eastAsia="仿宋" w:cs="仿宋"/>
          <w:b/>
          <w:bCs/>
          <w:color w:val="FF0000"/>
          <w:kern w:val="0"/>
          <w:sz w:val="30"/>
          <w:szCs w:val="30"/>
          <w:u w:val="none"/>
          <w:lang w:val="en-US" w:eastAsia="zh-CN" w:bidi="ar"/>
        </w:rPr>
        <w:t>构建</w:t>
      </w:r>
      <w:r>
        <w:rPr>
          <w:rFonts w:hint="eastAsia" w:ascii="仿宋" w:hAnsi="仿宋" w:eastAsia="仿宋" w:cs="仿宋"/>
          <w:b/>
          <w:bCs/>
          <w:color w:val="000000" w:themeColor="text1"/>
          <w:kern w:val="0"/>
          <w:sz w:val="30"/>
          <w:szCs w:val="30"/>
          <w:u w:val="none"/>
          <w:lang w:val="en-US" w:eastAsia="zh-CN" w:bidi="ar"/>
          <w14:textFill>
            <w14:solidFill>
              <w14:schemeClr w14:val="tx1"/>
            </w14:solidFill>
          </w14:textFill>
        </w:rPr>
        <w:t>科技评价</w:t>
      </w:r>
      <w:r>
        <w:rPr>
          <w:rFonts w:hint="eastAsia" w:ascii="仿宋" w:hAnsi="仿宋" w:eastAsia="仿宋" w:cs="仿宋"/>
          <w:b/>
          <w:bCs/>
          <w:color w:val="FF0000"/>
          <w:kern w:val="0"/>
          <w:sz w:val="30"/>
          <w:szCs w:val="30"/>
          <w:u w:val="none"/>
          <w:lang w:val="en-US" w:eastAsia="zh-CN" w:bidi="ar"/>
        </w:rPr>
        <w:t>新体系</w:t>
      </w:r>
      <w:bookmarkEnd w:id="94"/>
    </w:p>
    <w:p>
      <w:pPr>
        <w:keepNext w:val="0"/>
        <w:keepLines w:val="0"/>
        <w:pageBreakBefore w:val="0"/>
        <w:widowControl/>
        <w:suppressLineNumbers w:val="0"/>
        <w:kinsoku/>
        <w:wordWrap/>
        <w:overflowPunct/>
        <w:topLinePunct w:val="0"/>
        <w:autoSpaceDE/>
        <w:autoSpaceDN/>
        <w:bidi w:val="0"/>
        <w:adjustRightInd/>
        <w:snapToGrid/>
        <w:spacing w:line="520" w:lineRule="exact"/>
        <w:ind w:left="0" w:leftChars="0" w:firstLine="600" w:firstLineChars="200"/>
        <w:jc w:val="both"/>
        <w:textAlignment w:val="auto"/>
        <w:rPr>
          <w:rFonts w:hint="eastAsia" w:ascii="仿宋" w:hAnsi="仿宋" w:eastAsia="仿宋" w:cs="仿宋"/>
          <w:b w:val="0"/>
          <w:bCs w:val="0"/>
          <w:color w:val="000000" w:themeColor="text1"/>
          <w:kern w:val="0"/>
          <w:sz w:val="30"/>
          <w:szCs w:val="30"/>
          <w:u w:val="none"/>
          <w:lang w:val="en-US" w:eastAsia="zh-CN" w:bidi="ar"/>
          <w14:textFill>
            <w14:solidFill>
              <w14:schemeClr w14:val="tx1"/>
            </w14:solidFill>
          </w14:textFill>
        </w:rPr>
      </w:pPr>
      <w:r>
        <w:rPr>
          <w:rFonts w:hint="eastAsia" w:ascii="仿宋" w:hAnsi="仿宋" w:eastAsia="仿宋" w:cs="仿宋"/>
          <w:b w:val="0"/>
          <w:bCs/>
          <w:color w:val="000000" w:themeColor="text1"/>
          <w:kern w:val="2"/>
          <w:sz w:val="30"/>
          <w:szCs w:val="30"/>
          <w:u w:val="none"/>
          <w:lang w:val="en-US" w:eastAsia="zh-CN" w:bidi="ar-SA"/>
          <w14:textFill>
            <w14:solidFill>
              <w14:schemeClr w14:val="tx1"/>
            </w14:solidFill>
          </w14:textFill>
        </w:rPr>
        <w:t>按照国家关于《深化新时代教育评价改革总体方案》要求，</w:t>
      </w:r>
      <w:r>
        <w:rPr>
          <w:rFonts w:hint="eastAsia" w:ascii="仿宋" w:hAnsi="仿宋" w:eastAsia="仿宋" w:cs="仿宋"/>
          <w:b w:val="0"/>
          <w:bCs w:val="0"/>
          <w:color w:val="000000" w:themeColor="text1"/>
          <w:kern w:val="0"/>
          <w:sz w:val="30"/>
          <w:szCs w:val="30"/>
          <w:u w:val="none"/>
          <w:lang w:val="en-US" w:eastAsia="zh-CN" w:bidi="ar"/>
          <w14:textFill>
            <w14:solidFill>
              <w14:schemeClr w14:val="tx1"/>
            </w14:solidFill>
          </w14:textFill>
        </w:rPr>
        <w:t>深化科技创新、制度创新、协同创新，突出质量导向，重点评价学术贡献、社会贡献以及支撑人才培养情况。根据不同学科、不同岗位特点，建立分类评价体系；根据基础与应用研究、自然科学与人文社会科学等不同学科的成果特点，分类制定评价指标标准和奖励办法，突出科研产出质量和实际科技价值，鼓励产出重大成果，鼓励自主与协同创新、科技创新与社会服务并重；推行代表性成果评价，完善同行专家评议机制，探索团队评价和个人评价相结合的科研评价模式。</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0" w:beforeLines="0" w:beforeAutospacing="0" w:after="0" w:afterLines="0" w:afterAutospacing="0" w:line="520" w:lineRule="exact"/>
        <w:ind w:right="0" w:rightChars="0" w:firstLine="301" w:firstLineChars="100"/>
        <w:jc w:val="both"/>
        <w:textAlignment w:val="auto"/>
        <w:outlineLvl w:val="1"/>
        <w:rPr>
          <w:rFonts w:hint="eastAsia" w:ascii="仿宋" w:hAnsi="仿宋" w:eastAsia="仿宋" w:cs="仿宋"/>
          <w:b/>
          <w:bCs/>
          <w:color w:val="000000" w:themeColor="text1"/>
          <w:kern w:val="0"/>
          <w:sz w:val="30"/>
          <w:szCs w:val="30"/>
          <w:u w:val="none"/>
          <w:lang w:val="en-US" w:eastAsia="zh-CN" w:bidi="ar"/>
          <w14:textFill>
            <w14:solidFill>
              <w14:schemeClr w14:val="tx1"/>
            </w14:solidFill>
          </w14:textFill>
        </w:rPr>
      </w:pPr>
      <w:bookmarkStart w:id="95" w:name="_Toc30151"/>
      <w:r>
        <w:rPr>
          <w:rFonts w:hint="eastAsia" w:ascii="仿宋" w:hAnsi="仿宋" w:eastAsia="仿宋" w:cs="仿宋"/>
          <w:b/>
          <w:bCs/>
          <w:color w:val="000000" w:themeColor="text1"/>
          <w:kern w:val="0"/>
          <w:sz w:val="30"/>
          <w:szCs w:val="30"/>
          <w:u w:val="none"/>
          <w:lang w:val="en-US" w:eastAsia="zh-CN" w:bidi="ar"/>
          <w14:textFill>
            <w14:solidFill>
              <w14:schemeClr w14:val="tx1"/>
            </w14:solidFill>
          </w14:textFill>
        </w:rPr>
        <w:t>（七）</w:t>
      </w:r>
      <w:r>
        <w:rPr>
          <w:rFonts w:hint="eastAsia" w:ascii="仿宋" w:hAnsi="仿宋" w:eastAsia="仿宋" w:cs="仿宋"/>
          <w:b/>
          <w:bCs/>
          <w:color w:val="FF0000"/>
          <w:kern w:val="0"/>
          <w:sz w:val="30"/>
          <w:szCs w:val="30"/>
          <w:u w:val="none"/>
          <w:lang w:val="en-US" w:eastAsia="zh-CN" w:bidi="ar"/>
        </w:rPr>
        <w:t>以大学文化建设为灵魂，着力营造立德树人浓厚新氛围</w:t>
      </w:r>
      <w:bookmarkEnd w:id="95"/>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beforeLines="0" w:beforeAutospacing="0" w:after="0" w:afterLines="0" w:afterAutospacing="0" w:line="520" w:lineRule="exact"/>
        <w:ind w:left="0" w:leftChars="0" w:right="0" w:rightChars="0" w:firstLine="602" w:firstLineChars="200"/>
        <w:jc w:val="both"/>
        <w:textAlignment w:val="auto"/>
        <w:outlineLvl w:val="2"/>
        <w:rPr>
          <w:rFonts w:hint="eastAsia" w:ascii="仿宋" w:hAnsi="仿宋" w:eastAsia="仿宋" w:cs="仿宋"/>
          <w:b/>
          <w:bCs/>
          <w:color w:val="000000" w:themeColor="text1"/>
          <w:kern w:val="0"/>
          <w:sz w:val="30"/>
          <w:szCs w:val="30"/>
          <w:u w:val="none"/>
          <w:lang w:val="en-US" w:eastAsia="zh-CN" w:bidi="ar"/>
          <w14:textFill>
            <w14:solidFill>
              <w14:schemeClr w14:val="tx1"/>
            </w14:solidFill>
          </w14:textFill>
        </w:rPr>
      </w:pPr>
      <w:bookmarkStart w:id="96" w:name="_Toc4740"/>
      <w:r>
        <w:rPr>
          <w:rFonts w:hint="eastAsia" w:ascii="仿宋" w:hAnsi="仿宋" w:eastAsia="仿宋" w:cs="仿宋"/>
          <w:b/>
          <w:bCs/>
          <w:color w:val="000000" w:themeColor="text1"/>
          <w:kern w:val="0"/>
          <w:sz w:val="30"/>
          <w:szCs w:val="30"/>
          <w:u w:val="none"/>
          <w:lang w:val="en-US" w:eastAsia="zh-CN" w:bidi="ar"/>
          <w14:textFill>
            <w14:solidFill>
              <w14:schemeClr w14:val="tx1"/>
            </w14:solidFill>
          </w14:textFill>
        </w:rPr>
        <w:t>1.加强思想政治教育，打造“三全育人”品牌</w:t>
      </w:r>
      <w:bookmarkEnd w:id="96"/>
    </w:p>
    <w:p>
      <w:pPr>
        <w:pStyle w:val="2"/>
        <w:keepNext w:val="0"/>
        <w:keepLines w:val="0"/>
        <w:pageBreakBefore w:val="0"/>
        <w:widowControl w:val="0"/>
        <w:kinsoku/>
        <w:wordWrap/>
        <w:overflowPunct/>
        <w:topLinePunct w:val="0"/>
        <w:autoSpaceDE/>
        <w:autoSpaceDN/>
        <w:bidi w:val="0"/>
        <w:adjustRightInd/>
        <w:snapToGrid/>
        <w:spacing w:before="0" w:beforeAutospacing="0" w:afterAutospacing="0" w:line="520" w:lineRule="exact"/>
        <w:ind w:left="0" w:leftChars="0" w:right="0" w:firstLine="602" w:firstLineChars="200"/>
        <w:jc w:val="both"/>
        <w:textAlignment w:val="auto"/>
        <w:rPr>
          <w:rFonts w:hint="eastAsia" w:ascii="仿宋" w:hAnsi="仿宋" w:eastAsia="仿宋" w:cs="仿宋"/>
          <w:b w:val="0"/>
          <w:bCs w:val="0"/>
          <w:color w:val="000000" w:themeColor="text1"/>
          <w:kern w:val="0"/>
          <w:sz w:val="30"/>
          <w:szCs w:val="30"/>
          <w:u w:val="none"/>
          <w:lang w:val="en-US" w:eastAsia="zh-CN" w:bidi="ar"/>
          <w14:textFill>
            <w14:solidFill>
              <w14:schemeClr w14:val="tx1"/>
            </w14:solidFill>
          </w14:textFill>
        </w:rPr>
      </w:pPr>
      <w:bookmarkStart w:id="97" w:name="_Toc13434"/>
      <w:bookmarkStart w:id="98" w:name="_Toc8756"/>
      <w:bookmarkStart w:id="99" w:name="_Toc4844"/>
      <w:bookmarkStart w:id="100" w:name="_Toc4004"/>
      <w:r>
        <w:rPr>
          <w:rFonts w:hint="eastAsia" w:ascii="仿宋" w:hAnsi="仿宋" w:eastAsia="仿宋" w:cs="仿宋"/>
          <w:b/>
          <w:bCs/>
          <w:color w:val="000000" w:themeColor="text1"/>
          <w:kern w:val="0"/>
          <w:sz w:val="30"/>
          <w:szCs w:val="30"/>
          <w:u w:val="none"/>
          <w:lang w:val="en-US" w:eastAsia="zh-CN" w:bidi="ar"/>
          <w14:textFill>
            <w14:solidFill>
              <w14:schemeClr w14:val="tx1"/>
            </w14:solidFill>
          </w14:textFill>
        </w:rPr>
        <w:t>切实加强思想政治工作，将其贯穿教育教学全过程，实现全员育人、全程育人、全方位育人。</w:t>
      </w:r>
      <w:r>
        <w:rPr>
          <w:rFonts w:hint="eastAsia" w:ascii="仿宋" w:hAnsi="仿宋" w:eastAsia="仿宋" w:cs="仿宋"/>
          <w:b w:val="0"/>
          <w:bCs w:val="0"/>
          <w:color w:val="000000" w:themeColor="text1"/>
          <w:kern w:val="0"/>
          <w:sz w:val="30"/>
          <w:szCs w:val="30"/>
          <w:u w:val="none"/>
          <w:lang w:val="en-US" w:eastAsia="zh-CN" w:bidi="ar"/>
          <w14:textFill>
            <w14:solidFill>
              <w14:schemeClr w14:val="tx1"/>
            </w14:solidFill>
          </w14:textFill>
        </w:rPr>
        <w:t>牢固树立“以立德树人为根本，以强农兴农为己任”的理念</w:t>
      </w:r>
      <w:r>
        <w:rPr>
          <w:rFonts w:hint="eastAsia" w:ascii="仿宋" w:hAnsi="仿宋" w:eastAsia="仿宋" w:cs="仿宋"/>
          <w:b w:val="0"/>
          <w:bCs w:val="0"/>
          <w:color w:val="000000" w:themeColor="text1"/>
          <w:kern w:val="0"/>
          <w:sz w:val="30"/>
          <w:szCs w:val="30"/>
          <w:highlight w:val="none"/>
          <w:u w:val="none"/>
          <w:lang w:val="en-US" w:eastAsia="zh-CN" w:bidi="ar"/>
          <w14:textFill>
            <w14:solidFill>
              <w14:schemeClr w14:val="tx1"/>
            </w14:solidFill>
          </w14:textFill>
        </w:rPr>
        <w:t>,</w:t>
      </w:r>
      <w:r>
        <w:rPr>
          <w:rFonts w:hint="eastAsia" w:ascii="仿宋" w:hAnsi="仿宋" w:eastAsia="仿宋" w:cs="仿宋"/>
          <w:b w:val="0"/>
          <w:bCs w:val="0"/>
          <w:color w:val="000000" w:themeColor="text1"/>
          <w:kern w:val="0"/>
          <w:sz w:val="30"/>
          <w:szCs w:val="30"/>
          <w:u w:val="none"/>
          <w:lang w:val="en-US" w:eastAsia="zh-CN" w:bidi="ar"/>
          <w14:textFill>
            <w14:solidFill>
              <w14:schemeClr w14:val="tx1"/>
            </w14:solidFill>
          </w14:textFill>
        </w:rPr>
        <w:t>引导学生知农情、</w:t>
      </w:r>
      <w:r>
        <w:rPr>
          <w:rFonts w:hint="eastAsia" w:cs="仿宋"/>
          <w:b w:val="0"/>
          <w:bCs w:val="0"/>
          <w:color w:val="auto"/>
          <w:kern w:val="0"/>
          <w:sz w:val="30"/>
          <w:szCs w:val="30"/>
          <w:u w:val="none"/>
          <w:lang w:val="en-US" w:eastAsia="zh-CN" w:bidi="ar"/>
        </w:rPr>
        <w:t>晓农事</w:t>
      </w:r>
      <w:r>
        <w:rPr>
          <w:rFonts w:hint="eastAsia" w:ascii="仿宋" w:hAnsi="仿宋" w:eastAsia="仿宋" w:cs="仿宋"/>
          <w:b w:val="0"/>
          <w:bCs w:val="0"/>
          <w:color w:val="auto"/>
          <w:kern w:val="0"/>
          <w:sz w:val="30"/>
          <w:szCs w:val="30"/>
          <w:u w:val="none"/>
          <w:lang w:val="en-US" w:eastAsia="zh-CN" w:bidi="ar"/>
        </w:rPr>
        <w:t>、</w:t>
      </w:r>
      <w:r>
        <w:rPr>
          <w:rFonts w:hint="eastAsia" w:ascii="仿宋" w:hAnsi="仿宋" w:eastAsia="仿宋" w:cs="仿宋"/>
          <w:b w:val="0"/>
          <w:bCs w:val="0"/>
          <w:color w:val="000000" w:themeColor="text1"/>
          <w:kern w:val="0"/>
          <w:sz w:val="30"/>
          <w:szCs w:val="30"/>
          <w:u w:val="none"/>
          <w:lang w:val="en-US" w:eastAsia="zh-CN" w:bidi="ar"/>
          <w14:textFill>
            <w14:solidFill>
              <w14:schemeClr w14:val="tx1"/>
            </w14:solidFill>
          </w14:textFill>
        </w:rPr>
        <w:t>爱农业，厚植“大国三农”情怀。</w:t>
      </w:r>
      <w:r>
        <w:rPr>
          <w:rFonts w:hint="eastAsia" w:ascii="仿宋" w:hAnsi="仿宋" w:eastAsia="仿宋" w:cs="仿宋"/>
          <w:b/>
          <w:bCs/>
          <w:color w:val="000000" w:themeColor="text1"/>
          <w:kern w:val="0"/>
          <w:sz w:val="30"/>
          <w:szCs w:val="30"/>
          <w:u w:val="none"/>
          <w:lang w:val="en-US" w:eastAsia="zh-CN" w:bidi="ar"/>
          <w14:textFill>
            <w14:solidFill>
              <w14:schemeClr w14:val="tx1"/>
            </w14:solidFill>
          </w14:textFill>
        </w:rPr>
        <w:t>牢牢把握党对意识形态工作的领导权</w:t>
      </w:r>
      <w:r>
        <w:rPr>
          <w:rFonts w:hint="eastAsia" w:cs="仿宋"/>
          <w:b/>
          <w:bCs/>
          <w:color w:val="000000" w:themeColor="text1"/>
          <w:kern w:val="0"/>
          <w:sz w:val="30"/>
          <w:szCs w:val="30"/>
          <w:u w:val="none"/>
          <w:lang w:val="en-US" w:eastAsia="zh-CN" w:bidi="ar"/>
          <w14:textFill>
            <w14:solidFill>
              <w14:schemeClr w14:val="tx1"/>
            </w14:solidFill>
          </w14:textFill>
        </w:rPr>
        <w:t>，</w:t>
      </w:r>
      <w:r>
        <w:rPr>
          <w:rFonts w:hint="eastAsia" w:ascii="仿宋" w:hAnsi="仿宋" w:eastAsia="仿宋" w:cs="仿宋"/>
          <w:b w:val="0"/>
          <w:bCs w:val="0"/>
          <w:color w:val="000000" w:themeColor="text1"/>
          <w:kern w:val="0"/>
          <w:sz w:val="30"/>
          <w:szCs w:val="30"/>
          <w:u w:val="none"/>
          <w:lang w:val="en-US" w:eastAsia="zh-CN" w:bidi="ar"/>
          <w14:textFill>
            <w14:solidFill>
              <w14:schemeClr w14:val="tx1"/>
            </w14:solidFill>
          </w14:textFill>
        </w:rPr>
        <w:t>深入贯彻学习习近平总书记系列讲话精神，坚持党管意识形态、党管办学方向、用马克思主义占领学校意识形态阵地，认真落实意识形态工作责任制，使社会主义核心价值观深入人心。</w:t>
      </w:r>
      <w:r>
        <w:rPr>
          <w:rFonts w:hint="eastAsia" w:ascii="仿宋" w:hAnsi="仿宋" w:eastAsia="仿宋" w:cs="仿宋"/>
          <w:b/>
          <w:bCs/>
          <w:color w:val="000000" w:themeColor="text1"/>
          <w:kern w:val="0"/>
          <w:sz w:val="30"/>
          <w:szCs w:val="30"/>
          <w:u w:val="none"/>
          <w:lang w:val="en-US" w:eastAsia="zh-CN" w:bidi="ar"/>
          <w14:textFill>
            <w14:solidFill>
              <w14:schemeClr w14:val="tx1"/>
            </w14:solidFill>
          </w14:textFill>
        </w:rPr>
        <w:t>精心培育思政工作队伍，</w:t>
      </w:r>
      <w:r>
        <w:rPr>
          <w:rFonts w:hint="eastAsia" w:ascii="仿宋" w:hAnsi="仿宋" w:eastAsia="仿宋" w:cs="仿宋"/>
          <w:b w:val="0"/>
          <w:bCs w:val="0"/>
          <w:color w:val="000000" w:themeColor="text1"/>
          <w:kern w:val="0"/>
          <w:sz w:val="30"/>
          <w:szCs w:val="30"/>
          <w:u w:val="none"/>
          <w:lang w:val="en-US" w:eastAsia="zh-CN" w:bidi="ar"/>
          <w14:textFill>
            <w14:solidFill>
              <w14:schemeClr w14:val="tx1"/>
            </w14:solidFill>
          </w14:textFill>
        </w:rPr>
        <w:t>全面提升思想政治工作队伍的能力和水平，推动思想政治工作队伍专业化、职业化建设。</w:t>
      </w:r>
      <w:bookmarkEnd w:id="97"/>
      <w:bookmarkEnd w:id="98"/>
      <w:bookmarkEnd w:id="99"/>
      <w:bookmarkEnd w:id="100"/>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beforeLines="0" w:beforeAutospacing="0" w:after="0" w:afterLines="0" w:afterAutospacing="0" w:line="520" w:lineRule="exact"/>
        <w:ind w:left="0" w:leftChars="0" w:right="0" w:rightChars="0" w:firstLine="602" w:firstLineChars="200"/>
        <w:jc w:val="both"/>
        <w:textAlignment w:val="auto"/>
        <w:outlineLvl w:val="2"/>
        <w:rPr>
          <w:rFonts w:hint="eastAsia" w:ascii="仿宋" w:hAnsi="仿宋" w:eastAsia="仿宋" w:cs="仿宋"/>
          <w:b/>
          <w:bCs/>
          <w:color w:val="000000" w:themeColor="text1"/>
          <w:kern w:val="0"/>
          <w:sz w:val="30"/>
          <w:szCs w:val="30"/>
          <w:u w:val="none"/>
          <w:lang w:val="en-US" w:eastAsia="zh-CN" w:bidi="ar"/>
          <w14:textFill>
            <w14:solidFill>
              <w14:schemeClr w14:val="tx1"/>
            </w14:solidFill>
          </w14:textFill>
        </w:rPr>
      </w:pPr>
      <w:bookmarkStart w:id="101" w:name="_Toc23563"/>
      <w:r>
        <w:rPr>
          <w:rFonts w:hint="eastAsia" w:ascii="仿宋" w:hAnsi="仿宋" w:eastAsia="仿宋" w:cs="仿宋"/>
          <w:b/>
          <w:bCs/>
          <w:color w:val="000000" w:themeColor="text1"/>
          <w:kern w:val="0"/>
          <w:sz w:val="30"/>
          <w:szCs w:val="30"/>
          <w:u w:val="none"/>
          <w:lang w:val="en-US" w:eastAsia="zh-CN" w:bidi="ar"/>
          <w14:textFill>
            <w14:solidFill>
              <w14:schemeClr w14:val="tx1"/>
            </w14:solidFill>
          </w14:textFill>
        </w:rPr>
        <w:t>2.丰富校园文化载体，弘扬优良办学传统</w:t>
      </w:r>
      <w:bookmarkEnd w:id="101"/>
    </w:p>
    <w:p>
      <w:pPr>
        <w:keepNext w:val="0"/>
        <w:keepLines w:val="0"/>
        <w:pageBreakBefore w:val="0"/>
        <w:widowControl/>
        <w:suppressLineNumbers w:val="0"/>
        <w:kinsoku/>
        <w:wordWrap/>
        <w:overflowPunct/>
        <w:topLinePunct w:val="0"/>
        <w:autoSpaceDE/>
        <w:autoSpaceDN/>
        <w:bidi w:val="0"/>
        <w:adjustRightInd/>
        <w:snapToGrid/>
        <w:spacing w:line="520" w:lineRule="exact"/>
        <w:ind w:left="0" w:leftChars="0" w:firstLine="600" w:firstLineChars="200"/>
        <w:jc w:val="both"/>
        <w:textAlignment w:val="auto"/>
        <w:rPr>
          <w:rFonts w:hint="eastAsia" w:ascii="仿宋" w:hAnsi="仿宋" w:eastAsia="仿宋" w:cs="仿宋"/>
          <w:b w:val="0"/>
          <w:bCs w:val="0"/>
          <w:color w:val="000000" w:themeColor="text1"/>
          <w:kern w:val="0"/>
          <w:sz w:val="30"/>
          <w:szCs w:val="30"/>
          <w:u w:val="none"/>
          <w:lang w:val="en-US" w:eastAsia="zh-CN" w:bidi="ar"/>
          <w14:textFill>
            <w14:solidFill>
              <w14:schemeClr w14:val="tx1"/>
            </w14:solidFill>
          </w14:textFill>
        </w:rPr>
      </w:pPr>
      <w:r>
        <w:rPr>
          <w:rFonts w:hint="eastAsia" w:ascii="仿宋" w:hAnsi="仿宋" w:eastAsia="仿宋" w:cs="仿宋"/>
          <w:b w:val="0"/>
          <w:bCs w:val="0"/>
          <w:color w:val="000000" w:themeColor="text1"/>
          <w:kern w:val="0"/>
          <w:sz w:val="30"/>
          <w:szCs w:val="30"/>
          <w:u w:val="none"/>
          <w:lang w:val="en-US" w:eastAsia="zh-CN" w:bidi="ar"/>
          <w14:textFill>
            <w14:solidFill>
              <w14:schemeClr w14:val="tx1"/>
            </w14:solidFill>
          </w14:textFill>
        </w:rPr>
        <w:t>弘扬“艰苦创业、负重奋进、团结拼搏、追求卓越”的学校精神。传承学校的优良传统，深入开展对学校精神的阐释和宣传，增强师生的认同感，为学校健康发展提供不竭动力。坚持以文化人，以文育人，教育引导广大师生学农爱农，担当兴农强农使命。加大校史整理、编纂力度，筹建校史馆，传承、展示学校历史与文化。加强精神文化建设，打造具有学校特色的品牌文化。加强制度文化建设，促进学校依法办学、依法治校。加强环境文化建设，把农耕文化、农业文明与校园文化紧密结合，打造具有信农特色的优秀校园文化。加强行为文化建设，提倡网络文明，形成具有学校特点的校园网络文化，发挥网络在传递正能量中的重要作用，扩大学校社会影响力。</w:t>
      </w:r>
    </w:p>
    <w:p>
      <w:pPr>
        <w:keepNext w:val="0"/>
        <w:keepLines w:val="0"/>
        <w:pageBreakBefore w:val="0"/>
        <w:widowControl/>
        <w:suppressLineNumbers w:val="0"/>
        <w:kinsoku/>
        <w:wordWrap/>
        <w:overflowPunct/>
        <w:topLinePunct w:val="0"/>
        <w:autoSpaceDE/>
        <w:autoSpaceDN/>
        <w:bidi w:val="0"/>
        <w:adjustRightInd/>
        <w:snapToGrid/>
        <w:spacing w:line="520" w:lineRule="exact"/>
        <w:ind w:left="0" w:leftChars="0" w:firstLine="602" w:firstLineChars="200"/>
        <w:jc w:val="both"/>
        <w:textAlignment w:val="auto"/>
        <w:outlineLvl w:val="2"/>
        <w:rPr>
          <w:rFonts w:hint="eastAsia" w:ascii="仿宋" w:hAnsi="仿宋" w:eastAsia="仿宋" w:cs="仿宋"/>
          <w:b/>
          <w:bCs/>
          <w:color w:val="000000" w:themeColor="text1"/>
          <w:kern w:val="0"/>
          <w:sz w:val="30"/>
          <w:szCs w:val="30"/>
          <w:u w:val="none"/>
          <w:lang w:val="en-US" w:eastAsia="zh-CN" w:bidi="ar"/>
          <w14:textFill>
            <w14:solidFill>
              <w14:schemeClr w14:val="tx1"/>
            </w14:solidFill>
          </w14:textFill>
        </w:rPr>
      </w:pPr>
      <w:bookmarkStart w:id="102" w:name="_Toc30491"/>
      <w:r>
        <w:rPr>
          <w:rFonts w:hint="eastAsia" w:ascii="仿宋" w:hAnsi="仿宋" w:eastAsia="仿宋" w:cs="仿宋"/>
          <w:b/>
          <w:bCs/>
          <w:color w:val="000000" w:themeColor="text1"/>
          <w:kern w:val="0"/>
          <w:sz w:val="30"/>
          <w:szCs w:val="30"/>
          <w:u w:val="none"/>
          <w:lang w:val="en-US" w:eastAsia="zh-CN" w:bidi="ar"/>
          <w14:textFill>
            <w14:solidFill>
              <w14:schemeClr w14:val="tx1"/>
            </w14:solidFill>
          </w14:textFill>
        </w:rPr>
        <w:t>3.共享文明创建成果，创建和谐平安校园</w:t>
      </w:r>
      <w:bookmarkEnd w:id="102"/>
    </w:p>
    <w:p>
      <w:pPr>
        <w:keepNext w:val="0"/>
        <w:keepLines w:val="0"/>
        <w:pageBreakBefore w:val="0"/>
        <w:widowControl/>
        <w:suppressLineNumbers w:val="0"/>
        <w:kinsoku/>
        <w:wordWrap/>
        <w:overflowPunct/>
        <w:topLinePunct w:val="0"/>
        <w:autoSpaceDE/>
        <w:autoSpaceDN/>
        <w:bidi w:val="0"/>
        <w:adjustRightInd/>
        <w:snapToGrid/>
        <w:spacing w:line="520" w:lineRule="exact"/>
        <w:ind w:left="0" w:leftChars="0" w:firstLine="600" w:firstLineChars="200"/>
        <w:jc w:val="both"/>
        <w:textAlignment w:val="auto"/>
        <w:rPr>
          <w:rFonts w:hint="eastAsia" w:ascii="仿宋" w:hAnsi="仿宋" w:eastAsia="仿宋" w:cs="仿宋"/>
          <w:b w:val="0"/>
          <w:bCs w:val="0"/>
          <w:color w:val="000000" w:themeColor="text1"/>
          <w:kern w:val="0"/>
          <w:sz w:val="30"/>
          <w:szCs w:val="30"/>
          <w:u w:val="none"/>
          <w:lang w:val="en-US" w:eastAsia="zh-CN" w:bidi="ar"/>
          <w14:textFill>
            <w14:solidFill>
              <w14:schemeClr w14:val="tx1"/>
            </w14:solidFill>
          </w14:textFill>
        </w:rPr>
      </w:pPr>
      <w:r>
        <w:rPr>
          <w:rFonts w:hint="eastAsia" w:ascii="仿宋" w:hAnsi="仿宋" w:eastAsia="仿宋" w:cs="仿宋"/>
          <w:b w:val="0"/>
          <w:bCs w:val="0"/>
          <w:color w:val="000000" w:themeColor="text1"/>
          <w:kern w:val="0"/>
          <w:sz w:val="30"/>
          <w:szCs w:val="30"/>
          <w:u w:val="none"/>
          <w:lang w:val="en-US" w:eastAsia="zh-CN" w:bidi="ar"/>
          <w14:textFill>
            <w14:solidFill>
              <w14:schemeClr w14:val="tx1"/>
            </w14:solidFill>
          </w14:textFill>
        </w:rPr>
        <w:t>进一步巩固扩大省级文明校园创建成果，力争全国文明单位取得突破，提高精神文明建设水平和质量，为学校改革发展提供精神动力和思想保证。以师生为本，大力推进民生工程。着力解决改革发展中出现的矛盾和问题，把改革发展成果体现在拓展教职工成长空间和改善教职工学习生活条件上，体现在提高学生就业率和就业质量上。正确处理改革发展稳定的关系。不断提高学生的归属感、教职工的获得感、校友的荣誉感和社会的认同感。</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20" w:lineRule="exact"/>
        <w:ind w:firstLine="602" w:firstLineChars="200"/>
        <w:jc w:val="both"/>
        <w:textAlignment w:val="auto"/>
        <w:outlineLvl w:val="0"/>
        <w:rPr>
          <w:rFonts w:hint="eastAsia" w:ascii="仿宋" w:hAnsi="仿宋" w:eastAsia="仿宋" w:cs="仿宋"/>
          <w:b/>
          <w:bCs/>
          <w:color w:val="000000" w:themeColor="text1"/>
          <w:kern w:val="0"/>
          <w:sz w:val="30"/>
          <w:szCs w:val="30"/>
          <w:u w:val="none"/>
          <w:lang w:val="en-US" w:eastAsia="zh-CN" w:bidi="ar"/>
          <w14:textFill>
            <w14:solidFill>
              <w14:schemeClr w14:val="tx1"/>
            </w14:solidFill>
          </w14:textFill>
        </w:rPr>
      </w:pPr>
      <w:bookmarkStart w:id="103" w:name="_Toc596"/>
      <w:r>
        <w:rPr>
          <w:rFonts w:hint="eastAsia" w:ascii="仿宋" w:hAnsi="仿宋" w:eastAsia="仿宋" w:cs="仿宋"/>
          <w:b/>
          <w:bCs/>
          <w:color w:val="000000" w:themeColor="text1"/>
          <w:kern w:val="0"/>
          <w:sz w:val="30"/>
          <w:szCs w:val="30"/>
          <w:u w:val="none"/>
          <w:lang w:val="en-US" w:eastAsia="zh-CN" w:bidi="ar"/>
          <w14:textFill>
            <w14:solidFill>
              <w14:schemeClr w14:val="tx1"/>
            </w14:solidFill>
          </w14:textFill>
        </w:rPr>
        <w:t>（八）以推进管理体制改革为动力，构建现代大学治理能力提升新机制</w:t>
      </w:r>
      <w:bookmarkEnd w:id="103"/>
    </w:p>
    <w:p>
      <w:pPr>
        <w:keepNext w:val="0"/>
        <w:keepLines w:val="0"/>
        <w:pageBreakBefore w:val="0"/>
        <w:widowControl/>
        <w:suppressLineNumbers w:val="0"/>
        <w:kinsoku/>
        <w:wordWrap/>
        <w:overflowPunct/>
        <w:topLinePunct w:val="0"/>
        <w:autoSpaceDE/>
        <w:autoSpaceDN/>
        <w:bidi w:val="0"/>
        <w:adjustRightInd/>
        <w:snapToGrid/>
        <w:spacing w:line="520" w:lineRule="exact"/>
        <w:ind w:left="0" w:leftChars="0" w:firstLine="602" w:firstLineChars="200"/>
        <w:jc w:val="both"/>
        <w:textAlignment w:val="auto"/>
        <w:outlineLvl w:val="1"/>
        <w:rPr>
          <w:rFonts w:hint="eastAsia" w:ascii="仿宋" w:hAnsi="仿宋" w:eastAsia="仿宋" w:cs="仿宋"/>
          <w:b/>
          <w:bCs/>
          <w:color w:val="000000" w:themeColor="text1"/>
          <w:kern w:val="0"/>
          <w:sz w:val="30"/>
          <w:szCs w:val="30"/>
          <w:u w:val="none"/>
          <w:lang w:val="en-US" w:eastAsia="zh-CN" w:bidi="ar"/>
          <w14:textFill>
            <w14:solidFill>
              <w14:schemeClr w14:val="tx1"/>
            </w14:solidFill>
          </w14:textFill>
        </w:rPr>
      </w:pPr>
      <w:bookmarkStart w:id="104" w:name="_Toc881"/>
      <w:bookmarkStart w:id="105" w:name="_Toc19543"/>
      <w:r>
        <w:rPr>
          <w:rFonts w:hint="eastAsia" w:ascii="仿宋" w:hAnsi="仿宋" w:eastAsia="仿宋" w:cs="仿宋"/>
          <w:b/>
          <w:bCs/>
          <w:color w:val="000000" w:themeColor="text1"/>
          <w:kern w:val="0"/>
          <w:sz w:val="30"/>
          <w:szCs w:val="30"/>
          <w:u w:val="none"/>
          <w:lang w:val="en-US" w:eastAsia="zh-CN" w:bidi="ar"/>
          <w14:textFill>
            <w14:solidFill>
              <w14:schemeClr w14:val="tx1"/>
            </w14:solidFill>
          </w14:textFill>
        </w:rPr>
        <w:t>1.优化内部治理结构</w:t>
      </w:r>
      <w:bookmarkEnd w:id="104"/>
      <w:r>
        <w:rPr>
          <w:rFonts w:hint="eastAsia" w:ascii="仿宋" w:hAnsi="仿宋" w:eastAsia="仿宋" w:cs="仿宋"/>
          <w:b/>
          <w:bCs/>
          <w:color w:val="000000" w:themeColor="text1"/>
          <w:kern w:val="0"/>
          <w:sz w:val="30"/>
          <w:szCs w:val="30"/>
          <w:u w:val="none"/>
          <w:lang w:val="en-US" w:eastAsia="zh-CN" w:bidi="ar"/>
          <w14:textFill>
            <w14:solidFill>
              <w14:schemeClr w14:val="tx1"/>
            </w14:solidFill>
          </w14:textFill>
        </w:rPr>
        <w:t>，打造高效运行机制</w:t>
      </w:r>
      <w:bookmarkEnd w:id="105"/>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firstLine="600" w:firstLineChars="200"/>
        <w:jc w:val="both"/>
        <w:textAlignment w:val="auto"/>
        <w:rPr>
          <w:rFonts w:hint="eastAsia" w:ascii="仿宋" w:hAnsi="仿宋" w:eastAsia="仿宋" w:cs="仿宋"/>
          <w:b w:val="0"/>
          <w:bCs w:val="0"/>
          <w:color w:val="000000" w:themeColor="text1"/>
          <w:kern w:val="0"/>
          <w:sz w:val="30"/>
          <w:szCs w:val="30"/>
          <w:u w:val="none"/>
          <w:lang w:val="en-US" w:eastAsia="zh-CN" w:bidi="ar"/>
          <w14:textFill>
            <w14:solidFill>
              <w14:schemeClr w14:val="tx1"/>
            </w14:solidFill>
          </w14:textFill>
        </w:rPr>
      </w:pPr>
      <w:r>
        <w:rPr>
          <w:rFonts w:hint="eastAsia" w:ascii="仿宋" w:hAnsi="仿宋" w:eastAsia="仿宋" w:cs="仿宋"/>
          <w:b w:val="0"/>
          <w:bCs w:val="0"/>
          <w:color w:val="0000FF"/>
          <w:kern w:val="0"/>
          <w:sz w:val="30"/>
          <w:szCs w:val="30"/>
          <w:u w:val="none"/>
          <w:lang w:val="en-US" w:eastAsia="zh-CN" w:bidi="ar"/>
        </w:rPr>
        <w:t>推进依法治校，规范内部治理结构、办学行为和权力运行规则，形成以《信阳农林学院章程》为基本规范的制度体系和管理机制。</w:t>
      </w:r>
      <w:r>
        <w:rPr>
          <w:rFonts w:hint="eastAsia" w:ascii="仿宋" w:hAnsi="仿宋" w:eastAsia="仿宋" w:cs="仿宋"/>
          <w:b w:val="0"/>
          <w:bCs w:val="0"/>
          <w:color w:val="000000" w:themeColor="text1"/>
          <w:kern w:val="0"/>
          <w:sz w:val="30"/>
          <w:szCs w:val="30"/>
          <w:u w:val="none"/>
          <w:lang w:val="en-US" w:eastAsia="zh-CN" w:bidi="ar"/>
          <w14:textFill>
            <w14:solidFill>
              <w14:schemeClr w14:val="tx1"/>
            </w14:solidFill>
          </w14:textFill>
        </w:rPr>
        <w:t>坚持和完善党委领导下的校长负责制</w:t>
      </w:r>
      <w:r>
        <w:rPr>
          <w:rFonts w:hint="eastAsia" w:ascii="仿宋" w:hAnsi="仿宋" w:eastAsia="仿宋" w:cs="仿宋"/>
          <w:b w:val="0"/>
          <w:bCs w:val="0"/>
          <w:color w:val="auto"/>
          <w:kern w:val="0"/>
          <w:sz w:val="30"/>
          <w:szCs w:val="30"/>
          <w:u w:val="none"/>
          <w:lang w:val="en-US" w:eastAsia="zh-CN" w:bidi="ar"/>
        </w:rPr>
        <w:t>，坚持“党委领导、校长负责、教授治学、民主管理”。健全校党委会、校长办公会议等议事规则。进一步完善以学术委员会为核心的学术治理体系，尊重学术自由、健全学术规范。充分发挥学校各职能部门联动的工作优势，激发二级学院“中场发动机”的作用，形成高效、协调、顺畅的运行机制。</w:t>
      </w:r>
      <w:r>
        <w:rPr>
          <w:rFonts w:hint="eastAsia" w:ascii="仿宋" w:hAnsi="仿宋" w:eastAsia="仿宋" w:cs="仿宋"/>
          <w:b w:val="0"/>
          <w:bCs w:val="0"/>
          <w:color w:val="0000FF"/>
          <w:kern w:val="0"/>
          <w:sz w:val="30"/>
          <w:szCs w:val="30"/>
          <w:u w:val="none"/>
          <w:lang w:val="en-US" w:eastAsia="zh-CN" w:bidi="ar"/>
        </w:rPr>
        <w:t>进一步发挥“双代会”等制度的作用，保障师生依法、依学校章程有序参与学校管理</w:t>
      </w:r>
      <w:r>
        <w:rPr>
          <w:rFonts w:hint="eastAsia" w:ascii="仿宋" w:hAnsi="仿宋" w:eastAsia="仿宋" w:cs="仿宋"/>
          <w:b w:val="0"/>
          <w:bCs w:val="0"/>
          <w:color w:val="000000" w:themeColor="text1"/>
          <w:kern w:val="0"/>
          <w:sz w:val="30"/>
          <w:szCs w:val="30"/>
          <w:u w:val="none"/>
          <w:lang w:val="en-US" w:eastAsia="zh-CN" w:bidi="ar"/>
          <w14:textFill>
            <w14:solidFill>
              <w14:schemeClr w14:val="tx1"/>
            </w14:solidFill>
          </w14:textFill>
        </w:rPr>
        <w:t>。</w:t>
      </w:r>
    </w:p>
    <w:p>
      <w:pPr>
        <w:keepNext w:val="0"/>
        <w:keepLines w:val="0"/>
        <w:pageBreakBefore w:val="0"/>
        <w:widowControl/>
        <w:suppressLineNumbers w:val="0"/>
        <w:kinsoku/>
        <w:wordWrap/>
        <w:overflowPunct/>
        <w:topLinePunct w:val="0"/>
        <w:autoSpaceDE/>
        <w:autoSpaceDN/>
        <w:bidi w:val="0"/>
        <w:adjustRightInd/>
        <w:snapToGrid/>
        <w:spacing w:line="520" w:lineRule="exact"/>
        <w:ind w:left="0" w:leftChars="0" w:firstLine="602" w:firstLineChars="200"/>
        <w:jc w:val="both"/>
        <w:textAlignment w:val="auto"/>
        <w:outlineLvl w:val="1"/>
        <w:rPr>
          <w:rFonts w:hint="default" w:ascii="仿宋" w:hAnsi="仿宋" w:eastAsia="仿宋" w:cs="仿宋"/>
          <w:b/>
          <w:bCs/>
          <w:color w:val="000000" w:themeColor="text1"/>
          <w:kern w:val="0"/>
          <w:sz w:val="30"/>
          <w:szCs w:val="30"/>
          <w:u w:val="none"/>
          <w:lang w:val="en-US" w:eastAsia="zh-CN" w:bidi="ar"/>
          <w14:textFill>
            <w14:solidFill>
              <w14:schemeClr w14:val="tx1"/>
            </w14:solidFill>
          </w14:textFill>
        </w:rPr>
      </w:pPr>
      <w:bookmarkStart w:id="106" w:name="_Toc13568"/>
      <w:bookmarkStart w:id="107" w:name="_Toc26743"/>
      <w:r>
        <w:rPr>
          <w:rFonts w:hint="eastAsia" w:ascii="仿宋" w:hAnsi="仿宋" w:eastAsia="仿宋" w:cs="仿宋"/>
          <w:b/>
          <w:bCs/>
          <w:color w:val="000000" w:themeColor="text1"/>
          <w:kern w:val="0"/>
          <w:sz w:val="30"/>
          <w:szCs w:val="30"/>
          <w:u w:val="none"/>
          <w:lang w:val="en-US" w:eastAsia="zh-CN" w:bidi="ar"/>
          <w14:textFill>
            <w14:solidFill>
              <w14:schemeClr w14:val="tx1"/>
            </w14:solidFill>
          </w14:textFill>
        </w:rPr>
        <w:t>2.加强校院两级管理</w:t>
      </w:r>
      <w:bookmarkEnd w:id="106"/>
      <w:r>
        <w:rPr>
          <w:rFonts w:hint="eastAsia" w:ascii="仿宋" w:hAnsi="仿宋" w:eastAsia="仿宋" w:cs="仿宋"/>
          <w:b/>
          <w:bCs/>
          <w:color w:val="000000" w:themeColor="text1"/>
          <w:kern w:val="0"/>
          <w:sz w:val="30"/>
          <w:szCs w:val="30"/>
          <w:u w:val="none"/>
          <w:lang w:val="en-US" w:eastAsia="zh-CN" w:bidi="ar"/>
          <w14:textFill>
            <w14:solidFill>
              <w14:schemeClr w14:val="tx1"/>
            </w14:solidFill>
          </w14:textFill>
        </w:rPr>
        <w:t>，激发学院办学活力</w:t>
      </w:r>
      <w:bookmarkEnd w:id="107"/>
      <w:r>
        <w:rPr>
          <w:rFonts w:hint="eastAsia" w:ascii="仿宋" w:hAnsi="仿宋" w:eastAsia="仿宋" w:cs="仿宋"/>
          <w:b/>
          <w:bCs/>
          <w:color w:val="000000" w:themeColor="text1"/>
          <w:kern w:val="0"/>
          <w:sz w:val="30"/>
          <w:szCs w:val="30"/>
          <w:u w:val="none"/>
          <w:lang w:val="en-US" w:eastAsia="zh-CN" w:bidi="ar"/>
          <w14:textFill>
            <w14:solidFill>
              <w14:schemeClr w14:val="tx1"/>
            </w14:solidFill>
          </w14:textFill>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20" w:lineRule="exact"/>
        <w:ind w:left="0" w:leftChars="0" w:firstLine="600" w:firstLineChars="200"/>
        <w:jc w:val="both"/>
        <w:textAlignment w:val="auto"/>
        <w:rPr>
          <w:rFonts w:hint="eastAsia" w:ascii="仿宋" w:hAnsi="仿宋" w:eastAsia="仿宋" w:cs="仿宋"/>
          <w:b w:val="0"/>
          <w:bCs w:val="0"/>
          <w:color w:val="000000" w:themeColor="text1"/>
          <w:kern w:val="0"/>
          <w:sz w:val="30"/>
          <w:szCs w:val="30"/>
          <w:u w:val="none"/>
          <w:lang w:val="en-US" w:eastAsia="zh-CN" w:bidi="ar"/>
          <w14:textFill>
            <w14:solidFill>
              <w14:schemeClr w14:val="tx1"/>
            </w14:solidFill>
          </w14:textFill>
        </w:rPr>
      </w:pPr>
      <w:r>
        <w:rPr>
          <w:rFonts w:hint="eastAsia" w:ascii="仿宋" w:hAnsi="仿宋" w:eastAsia="仿宋" w:cs="仿宋"/>
          <w:b w:val="0"/>
          <w:bCs w:val="0"/>
          <w:color w:val="FF0000"/>
          <w:kern w:val="0"/>
          <w:sz w:val="30"/>
          <w:szCs w:val="30"/>
          <w:u w:val="none"/>
          <w:lang w:val="en-US" w:eastAsia="zh-CN" w:bidi="ar"/>
        </w:rPr>
        <w:t>以完善学院治理结构为重点、提升治理效能为目标，构建良性互动、合力增效的校院治理新格局。</w:t>
      </w:r>
      <w:r>
        <w:rPr>
          <w:rFonts w:hint="eastAsia" w:ascii="仿宋" w:hAnsi="仿宋" w:eastAsia="仿宋" w:cs="仿宋"/>
          <w:b w:val="0"/>
          <w:bCs w:val="0"/>
          <w:color w:val="000000" w:themeColor="text1"/>
          <w:kern w:val="0"/>
          <w:sz w:val="30"/>
          <w:szCs w:val="30"/>
          <w:u w:val="none"/>
          <w:lang w:val="en-US" w:eastAsia="zh-CN" w:bidi="ar"/>
          <w14:textFill>
            <w14:solidFill>
              <w14:schemeClr w14:val="tx1"/>
            </w14:solidFill>
          </w14:textFill>
        </w:rPr>
        <w:t xml:space="preserve">建立学校权责清单，进一步明确学院的责权利，充分下放人事、评聘、考核、二次分配等职权，赋予学院更多的人、财、物权，鼓励学院自主管理、特色办学。进一步健全办学自主权运行机制和监督机制，健全学院党政联席会议制度、学院科学民主决策制度。建立学院教授委员会，实施学院教职工大会和二级教代会制度，强化基层教学组织作用。完善学院分类指导、分类发展和发展评估制度。推进机构设置改革，转变管理职能，明确学校、职能部门和学院的人财物责权利边界；推进校直机关部门改革，建立机关职能部门工作协同机制，推进管理服务工作的规范化、制度化、信息化。深化“放管服”改革，提高职能部门政策落实、资源统筹、咨询服务、监督管理水平及工作执行力。 </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Autospacing="0" w:line="520" w:lineRule="exact"/>
        <w:ind w:left="0" w:leftChars="0" w:right="0" w:rightChars="0" w:firstLine="602" w:firstLineChars="200"/>
        <w:jc w:val="both"/>
        <w:textAlignment w:val="auto"/>
        <w:outlineLvl w:val="0"/>
        <w:rPr>
          <w:rFonts w:hint="eastAsia" w:ascii="仿宋" w:hAnsi="仿宋" w:eastAsia="仿宋" w:cs="仿宋"/>
          <w:b/>
          <w:bCs/>
          <w:color w:val="000000" w:themeColor="text1"/>
          <w:kern w:val="0"/>
          <w:sz w:val="30"/>
          <w:szCs w:val="30"/>
          <w:u w:val="none"/>
          <w:lang w:val="en-US" w:eastAsia="zh-CN" w:bidi="ar"/>
          <w14:textFill>
            <w14:solidFill>
              <w14:schemeClr w14:val="tx1"/>
            </w14:solidFill>
          </w14:textFill>
        </w:rPr>
      </w:pPr>
      <w:bookmarkStart w:id="108" w:name="_Toc11792"/>
      <w:r>
        <w:rPr>
          <w:rFonts w:hint="eastAsia" w:cs="仿宋"/>
          <w:b/>
          <w:bCs/>
          <w:color w:val="000000" w:themeColor="text1"/>
          <w:kern w:val="0"/>
          <w:sz w:val="30"/>
          <w:szCs w:val="30"/>
          <w:u w:val="none"/>
          <w:lang w:val="en-US" w:eastAsia="zh-CN" w:bidi="ar"/>
          <w14:textFill>
            <w14:solidFill>
              <w14:schemeClr w14:val="tx1"/>
            </w14:solidFill>
          </w14:textFill>
        </w:rPr>
        <w:t>五</w:t>
      </w:r>
      <w:r>
        <w:rPr>
          <w:rFonts w:hint="eastAsia" w:ascii="仿宋" w:hAnsi="仿宋" w:eastAsia="仿宋" w:cs="仿宋"/>
          <w:b/>
          <w:bCs/>
          <w:color w:val="000000" w:themeColor="text1"/>
          <w:kern w:val="0"/>
          <w:sz w:val="30"/>
          <w:szCs w:val="30"/>
          <w:u w:val="none"/>
          <w:lang w:val="en-US" w:eastAsia="zh-CN" w:bidi="ar"/>
          <w14:textFill>
            <w14:solidFill>
              <w14:schemeClr w14:val="tx1"/>
            </w14:solidFill>
          </w14:textFill>
        </w:rPr>
        <w:t>、保障与实施</w:t>
      </w:r>
      <w:bookmarkEnd w:id="108"/>
    </w:p>
    <w:p>
      <w:pPr>
        <w:pStyle w:val="3"/>
        <w:keepNext w:val="0"/>
        <w:keepLines w:val="0"/>
        <w:pageBreakBefore w:val="0"/>
        <w:kinsoku/>
        <w:wordWrap/>
        <w:overflowPunct/>
        <w:topLinePunct w:val="0"/>
        <w:autoSpaceDE/>
        <w:autoSpaceDN/>
        <w:bidi w:val="0"/>
        <w:adjustRightInd/>
        <w:snapToGrid/>
        <w:spacing w:before="0" w:beforeLines="0" w:after="0" w:afterLines="0" w:line="520" w:lineRule="exact"/>
        <w:ind w:left="0" w:leftChars="0" w:firstLine="602" w:firstLineChars="200"/>
        <w:textAlignment w:val="auto"/>
        <w:outlineLvl w:val="1"/>
        <w:rPr>
          <w:rFonts w:hint="eastAsia" w:ascii="仿宋" w:hAnsi="仿宋" w:eastAsia="仿宋" w:cs="仿宋"/>
          <w:color w:val="000000" w:themeColor="text1"/>
          <w:sz w:val="30"/>
          <w:szCs w:val="30"/>
          <w:u w:val="none"/>
          <w14:textFill>
            <w14:solidFill>
              <w14:schemeClr w14:val="tx1"/>
            </w14:solidFill>
          </w14:textFill>
        </w:rPr>
      </w:pPr>
      <w:bookmarkStart w:id="109" w:name="_Toc13833"/>
      <w:r>
        <w:rPr>
          <w:rFonts w:hint="eastAsia" w:ascii="仿宋" w:hAnsi="仿宋" w:eastAsia="仿宋" w:cs="仿宋"/>
          <w:color w:val="000000" w:themeColor="text1"/>
          <w:sz w:val="30"/>
          <w:szCs w:val="30"/>
          <w:u w:val="none"/>
          <w14:textFill>
            <w14:solidFill>
              <w14:schemeClr w14:val="tx1"/>
            </w14:solidFill>
          </w14:textFill>
        </w:rPr>
        <w:t>（</w:t>
      </w:r>
      <w:r>
        <w:rPr>
          <w:rFonts w:hint="eastAsia" w:ascii="仿宋" w:hAnsi="仿宋" w:eastAsia="仿宋" w:cs="仿宋"/>
          <w:color w:val="000000" w:themeColor="text1"/>
          <w:sz w:val="30"/>
          <w:szCs w:val="30"/>
          <w:u w:val="none"/>
          <w:lang w:eastAsia="zh-CN"/>
          <w14:textFill>
            <w14:solidFill>
              <w14:schemeClr w14:val="tx1"/>
            </w14:solidFill>
          </w14:textFill>
        </w:rPr>
        <w:t>一</w:t>
      </w:r>
      <w:r>
        <w:rPr>
          <w:rFonts w:hint="eastAsia" w:ascii="仿宋" w:hAnsi="仿宋" w:eastAsia="仿宋" w:cs="仿宋"/>
          <w:color w:val="000000" w:themeColor="text1"/>
          <w:sz w:val="30"/>
          <w:szCs w:val="30"/>
          <w:u w:val="none"/>
          <w14:textFill>
            <w14:solidFill>
              <w14:schemeClr w14:val="tx1"/>
            </w14:solidFill>
          </w14:textFill>
        </w:rPr>
        <w:t>）完善资源配置，强化条件保障</w:t>
      </w:r>
      <w:bookmarkEnd w:id="109"/>
    </w:p>
    <w:p>
      <w:pPr>
        <w:pStyle w:val="7"/>
        <w:keepNext w:val="0"/>
        <w:keepLines w:val="0"/>
        <w:pageBreakBefore w:val="0"/>
        <w:kinsoku/>
        <w:wordWrap/>
        <w:overflowPunct/>
        <w:topLinePunct w:val="0"/>
        <w:autoSpaceDE/>
        <w:autoSpaceDN/>
        <w:bidi w:val="0"/>
        <w:adjustRightInd/>
        <w:snapToGrid/>
        <w:spacing w:beforeAutospacing="0" w:afterAutospacing="0" w:line="520" w:lineRule="exact"/>
        <w:ind w:left="0" w:leftChars="0" w:right="0" w:firstLine="602" w:firstLineChars="200"/>
        <w:jc w:val="both"/>
        <w:textAlignment w:val="auto"/>
        <w:outlineLvl w:val="2"/>
        <w:rPr>
          <w:rFonts w:hint="eastAsia" w:ascii="仿宋" w:hAnsi="仿宋" w:eastAsia="仿宋" w:cs="仿宋"/>
          <w:b/>
          <w:bCs/>
          <w:color w:val="000000" w:themeColor="text1"/>
          <w:kern w:val="0"/>
          <w:sz w:val="30"/>
          <w:szCs w:val="30"/>
          <w:u w:val="none"/>
          <w:lang w:val="en-US" w:eastAsia="zh-CN"/>
          <w14:textFill>
            <w14:solidFill>
              <w14:schemeClr w14:val="tx1"/>
            </w14:solidFill>
          </w14:textFill>
        </w:rPr>
      </w:pPr>
      <w:bookmarkStart w:id="110" w:name="_Toc24519"/>
      <w:r>
        <w:rPr>
          <w:rFonts w:hint="eastAsia" w:ascii="仿宋" w:hAnsi="仿宋" w:eastAsia="仿宋" w:cs="仿宋"/>
          <w:b/>
          <w:bCs/>
          <w:color w:val="000000" w:themeColor="text1"/>
          <w:kern w:val="0"/>
          <w:sz w:val="30"/>
          <w:szCs w:val="30"/>
          <w:u w:val="none"/>
          <w:lang w:val="en-US" w:eastAsia="zh-CN"/>
          <w14:textFill>
            <w14:solidFill>
              <w14:schemeClr w14:val="tx1"/>
            </w14:solidFill>
          </w14:textFill>
        </w:rPr>
        <w:t>1.加快教育信息化建设，打造</w:t>
      </w:r>
      <w:r>
        <w:rPr>
          <w:rFonts w:hint="eastAsia" w:cs="仿宋"/>
          <w:b/>
          <w:bCs/>
          <w:color w:val="0000FF"/>
          <w:kern w:val="0"/>
          <w:sz w:val="30"/>
          <w:szCs w:val="30"/>
          <w:u w:val="none"/>
          <w:lang w:val="en-US" w:eastAsia="zh-CN"/>
        </w:rPr>
        <w:t>现代</w:t>
      </w:r>
      <w:r>
        <w:rPr>
          <w:rFonts w:hint="eastAsia" w:ascii="仿宋" w:hAnsi="仿宋" w:eastAsia="仿宋" w:cs="仿宋"/>
          <w:b/>
          <w:bCs/>
          <w:color w:val="000000" w:themeColor="text1"/>
          <w:kern w:val="0"/>
          <w:sz w:val="30"/>
          <w:szCs w:val="30"/>
          <w:u w:val="none"/>
          <w:lang w:val="en-US" w:eastAsia="zh-CN"/>
          <w14:textFill>
            <w14:solidFill>
              <w14:schemeClr w14:val="tx1"/>
            </w14:solidFill>
          </w14:textFill>
        </w:rPr>
        <w:t>智慧校园</w:t>
      </w:r>
      <w:bookmarkEnd w:id="110"/>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20" w:lineRule="exact"/>
        <w:ind w:left="0" w:leftChars="0" w:firstLine="600" w:firstLineChars="200"/>
        <w:jc w:val="both"/>
        <w:textAlignment w:val="auto"/>
        <w:rPr>
          <w:rFonts w:hint="eastAsia" w:ascii="仿宋" w:hAnsi="仿宋" w:eastAsia="仿宋" w:cs="仿宋"/>
          <w:color w:val="000000" w:themeColor="text1"/>
          <w:kern w:val="0"/>
          <w:sz w:val="30"/>
          <w:szCs w:val="30"/>
          <w:u w:val="none"/>
          <w:lang w:val="en-US" w:eastAsia="zh-CN"/>
          <w14:textFill>
            <w14:solidFill>
              <w14:schemeClr w14:val="tx1"/>
            </w14:solidFill>
          </w14:textFill>
        </w:rPr>
      </w:pPr>
      <w:r>
        <w:rPr>
          <w:rFonts w:hint="eastAsia" w:ascii="仿宋" w:hAnsi="仿宋" w:eastAsia="仿宋" w:cs="仿宋"/>
          <w:b w:val="0"/>
          <w:bCs w:val="0"/>
          <w:color w:val="000000" w:themeColor="text1"/>
          <w:kern w:val="0"/>
          <w:sz w:val="30"/>
          <w:szCs w:val="30"/>
          <w:u w:val="none"/>
          <w:lang w:val="en-US" w:eastAsia="zh-CN"/>
          <w14:textFill>
            <w14:solidFill>
              <w14:schemeClr w14:val="tx1"/>
            </w14:solidFill>
          </w14:textFill>
        </w:rPr>
        <w:t>推进现代信息技术与学校发展的深度融合。</w:t>
      </w:r>
      <w:r>
        <w:rPr>
          <w:rFonts w:hint="eastAsia" w:ascii="仿宋" w:hAnsi="仿宋" w:eastAsia="仿宋" w:cs="仿宋"/>
          <w:color w:val="000000" w:themeColor="text1"/>
          <w:kern w:val="0"/>
          <w:sz w:val="30"/>
          <w:szCs w:val="30"/>
          <w:u w:val="none"/>
          <w:lang w:val="en-US" w:eastAsia="zh-CN"/>
          <w14:textFill>
            <w14:solidFill>
              <w14:schemeClr w14:val="tx1"/>
            </w14:solidFill>
          </w14:textFill>
        </w:rPr>
        <w:t>加强信息化基础设施建设。立足“互联网＋教育”“互联网+农业”的信息化思维，以云计算、人工智能、大数据等信息技术为依托，对接区块链、智慧城市、乡村振兴等战略任务安排，推动现代农业与现代教育</w:t>
      </w:r>
      <w:r>
        <w:rPr>
          <w:rFonts w:hint="eastAsia" w:ascii="仿宋" w:hAnsi="仿宋" w:eastAsia="仿宋" w:cs="仿宋"/>
          <w:color w:val="auto"/>
          <w:kern w:val="0"/>
          <w:sz w:val="30"/>
          <w:szCs w:val="30"/>
          <w:u w:val="none"/>
          <w:lang w:val="en-US" w:eastAsia="zh-CN"/>
        </w:rPr>
        <w:t>技术</w:t>
      </w:r>
      <w:r>
        <w:rPr>
          <w:rFonts w:hint="eastAsia" w:ascii="仿宋" w:hAnsi="仿宋" w:eastAsia="仿宋" w:cs="仿宋"/>
          <w:color w:val="000000" w:themeColor="text1"/>
          <w:kern w:val="0"/>
          <w:sz w:val="30"/>
          <w:szCs w:val="30"/>
          <w:u w:val="none"/>
          <w:lang w:val="en-US" w:eastAsia="zh-CN"/>
          <w14:textFill>
            <w14:solidFill>
              <w14:schemeClr w14:val="tx1"/>
            </w14:solidFill>
          </w14:textFill>
        </w:rPr>
        <w:t>有机结合。</w:t>
      </w:r>
      <w:r>
        <w:rPr>
          <w:rFonts w:hint="eastAsia" w:ascii="仿宋" w:hAnsi="仿宋" w:eastAsia="仿宋" w:cs="仿宋"/>
          <w:b w:val="0"/>
          <w:bCs w:val="0"/>
          <w:color w:val="000000" w:themeColor="text1"/>
          <w:kern w:val="0"/>
          <w:sz w:val="30"/>
          <w:szCs w:val="30"/>
          <w:u w:val="none"/>
          <w:lang w:val="en-US" w:eastAsia="zh-CN"/>
          <w14:textFill>
            <w14:solidFill>
              <w14:schemeClr w14:val="tx1"/>
            </w14:solidFill>
          </w14:textFill>
        </w:rPr>
        <w:t>将信息技术深度融入教育教学管理、财务管理、科研管理、人事管理、档案管理、资源保障等业务流程，创新管理服务模式，提高管理科学化、精细化水平</w:t>
      </w:r>
      <w:r>
        <w:rPr>
          <w:rFonts w:hint="eastAsia" w:ascii="仿宋" w:hAnsi="仿宋" w:eastAsia="仿宋" w:cs="仿宋"/>
          <w:b/>
          <w:bCs/>
          <w:color w:val="000000" w:themeColor="text1"/>
          <w:kern w:val="0"/>
          <w:sz w:val="30"/>
          <w:szCs w:val="30"/>
          <w:u w:val="none"/>
          <w:lang w:val="en-US" w:eastAsia="zh-CN"/>
          <w14:textFill>
            <w14:solidFill>
              <w14:schemeClr w14:val="tx1"/>
            </w14:solidFill>
          </w14:textFill>
        </w:rPr>
        <w:t>。</w:t>
      </w:r>
      <w:r>
        <w:rPr>
          <w:rFonts w:hint="eastAsia" w:ascii="仿宋" w:hAnsi="仿宋" w:eastAsia="仿宋" w:cs="仿宋"/>
          <w:color w:val="000000" w:themeColor="text1"/>
          <w:kern w:val="0"/>
          <w:sz w:val="30"/>
          <w:szCs w:val="30"/>
          <w:u w:val="none"/>
          <w:lang w:val="en-US" w:eastAsia="zh-CN"/>
          <w14:textFill>
            <w14:solidFill>
              <w14:schemeClr w14:val="tx1"/>
            </w14:solidFill>
          </w14:textFill>
        </w:rPr>
        <w:t>到 2025 年，基本建成业务融合、流程清晰、学习泛在化、管理智能化的智慧校园。增加图书馆数据库数量，提高数据库使用效益，提升数据库在教育教学以及科学研究中的作用。积极推进馆藏质量高、服务效率高的数字化图书馆建设，着力提高文献资源建设质量，不断提高文献资源利用率。</w:t>
      </w:r>
      <w:r>
        <w:rPr>
          <w:rFonts w:hint="eastAsia" w:ascii="仿宋" w:hAnsi="仿宋" w:eastAsia="仿宋" w:cs="仿宋"/>
          <w:color w:val="000000" w:themeColor="text1"/>
          <w:kern w:val="0"/>
          <w:sz w:val="30"/>
          <w:szCs w:val="30"/>
          <w:u w:val="none"/>
          <w:lang w:val="en-US" w:eastAsia="zh-CN" w:bidi="ar"/>
          <w14:textFill>
            <w14:solidFill>
              <w14:schemeClr w14:val="tx1"/>
            </w14:solidFill>
          </w14:textFill>
        </w:rPr>
        <w:t>教学信息化、办公自动化、管理现代化水平明显提高。</w:t>
      </w:r>
    </w:p>
    <w:p>
      <w:pPr>
        <w:pStyle w:val="7"/>
        <w:keepNext w:val="0"/>
        <w:keepLines w:val="0"/>
        <w:pageBreakBefore w:val="0"/>
        <w:kinsoku/>
        <w:wordWrap/>
        <w:overflowPunct/>
        <w:topLinePunct w:val="0"/>
        <w:autoSpaceDE/>
        <w:autoSpaceDN/>
        <w:bidi w:val="0"/>
        <w:adjustRightInd/>
        <w:snapToGrid/>
        <w:spacing w:beforeAutospacing="0" w:afterAutospacing="0" w:line="520" w:lineRule="exact"/>
        <w:ind w:left="0" w:leftChars="0" w:right="0" w:firstLine="602" w:firstLineChars="200"/>
        <w:jc w:val="both"/>
        <w:textAlignment w:val="auto"/>
        <w:outlineLvl w:val="2"/>
        <w:rPr>
          <w:rFonts w:hint="eastAsia" w:ascii="仿宋" w:hAnsi="仿宋" w:eastAsia="仿宋" w:cs="仿宋"/>
          <w:b/>
          <w:bCs/>
          <w:color w:val="000000" w:themeColor="text1"/>
          <w:kern w:val="0"/>
          <w:sz w:val="30"/>
          <w:szCs w:val="30"/>
          <w:u w:val="none"/>
          <w:lang w:val="en-US" w:eastAsia="zh-CN"/>
          <w14:textFill>
            <w14:solidFill>
              <w14:schemeClr w14:val="tx1"/>
            </w14:solidFill>
          </w14:textFill>
        </w:rPr>
      </w:pPr>
      <w:bookmarkStart w:id="111" w:name="_Toc31167"/>
      <w:r>
        <w:rPr>
          <w:rFonts w:hint="eastAsia" w:ascii="仿宋" w:hAnsi="仿宋" w:eastAsia="仿宋" w:cs="仿宋"/>
          <w:b/>
          <w:bCs/>
          <w:color w:val="000000" w:themeColor="text1"/>
          <w:kern w:val="0"/>
          <w:sz w:val="30"/>
          <w:szCs w:val="30"/>
          <w:u w:val="none"/>
          <w:lang w:val="en-US" w:eastAsia="zh-CN"/>
          <w14:textFill>
            <w14:solidFill>
              <w14:schemeClr w14:val="tx1"/>
            </w14:solidFill>
          </w14:textFill>
        </w:rPr>
        <w:t>2.推进校园基础建设，强化办学条件保障</w:t>
      </w:r>
      <w:bookmarkEnd w:id="111"/>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20" w:lineRule="exact"/>
        <w:ind w:left="0" w:leftChars="0" w:firstLine="600" w:firstLineChars="200"/>
        <w:jc w:val="both"/>
        <w:textAlignment w:val="auto"/>
        <w:rPr>
          <w:rFonts w:hint="eastAsia" w:ascii="仿宋" w:hAnsi="仿宋" w:eastAsia="仿宋" w:cs="仿宋"/>
          <w:color w:val="000000" w:themeColor="text1"/>
          <w:kern w:val="0"/>
          <w:sz w:val="30"/>
          <w:szCs w:val="30"/>
          <w:u w:val="none"/>
          <w:lang w:val="en-US" w:eastAsia="zh-CN"/>
          <w14:textFill>
            <w14:solidFill>
              <w14:schemeClr w14:val="tx1"/>
            </w14:solidFill>
          </w14:textFill>
        </w:rPr>
      </w:pPr>
      <w:r>
        <w:rPr>
          <w:rFonts w:hint="eastAsia" w:ascii="仿宋" w:hAnsi="仿宋" w:eastAsia="仿宋" w:cs="仿宋"/>
          <w:b w:val="0"/>
          <w:bCs w:val="0"/>
          <w:color w:val="000000" w:themeColor="text1"/>
          <w:kern w:val="0"/>
          <w:sz w:val="30"/>
          <w:szCs w:val="30"/>
          <w:u w:val="none"/>
          <w:lang w:val="en-US" w:eastAsia="zh-CN"/>
          <w14:textFill>
            <w14:solidFill>
              <w14:schemeClr w14:val="tx1"/>
            </w14:solidFill>
          </w14:textFill>
        </w:rPr>
        <w:t>完成校园一期续建工程和二期校园建设。</w:t>
      </w:r>
      <w:r>
        <w:rPr>
          <w:rFonts w:hint="eastAsia" w:ascii="仿宋" w:hAnsi="仿宋" w:eastAsia="仿宋" w:cs="仿宋"/>
          <w:color w:val="000000" w:themeColor="text1"/>
          <w:kern w:val="0"/>
          <w:sz w:val="30"/>
          <w:szCs w:val="30"/>
          <w:u w:val="none"/>
          <w:lang w:val="en-US" w:eastAsia="zh-CN"/>
          <w14:textFill>
            <w14:solidFill>
              <w14:schemeClr w14:val="tx1"/>
            </w14:solidFill>
          </w14:textFill>
        </w:rPr>
        <w:t>按照</w:t>
      </w:r>
      <w:r>
        <w:rPr>
          <w:rFonts w:hint="eastAsia" w:ascii="仿宋" w:hAnsi="仿宋" w:eastAsia="仿宋" w:cs="仿宋"/>
          <w:b w:val="0"/>
          <w:bCs w:val="0"/>
          <w:color w:val="000000" w:themeColor="text1"/>
          <w:kern w:val="0"/>
          <w:sz w:val="30"/>
          <w:szCs w:val="30"/>
          <w:u w:val="none"/>
          <w:lang w:val="en-US" w:eastAsia="zh-CN"/>
          <w14:textFill>
            <w14:solidFill>
              <w14:schemeClr w14:val="tx1"/>
            </w14:solidFill>
          </w14:textFill>
        </w:rPr>
        <w:t>“以人为本、彰显特色、科学布局、合理组团”</w:t>
      </w:r>
      <w:r>
        <w:rPr>
          <w:rFonts w:hint="eastAsia" w:ascii="仿宋" w:hAnsi="仿宋" w:eastAsia="仿宋" w:cs="仿宋"/>
          <w:color w:val="000000" w:themeColor="text1"/>
          <w:kern w:val="0"/>
          <w:sz w:val="30"/>
          <w:szCs w:val="30"/>
          <w:u w:val="none"/>
          <w:lang w:val="en-US" w:eastAsia="zh-CN"/>
          <w14:textFill>
            <w14:solidFill>
              <w14:schemeClr w14:val="tx1"/>
            </w14:solidFill>
          </w14:textFill>
        </w:rPr>
        <w:t>的理念，进一步调整校园功能分区，加强校园基本建设。布局建设创新创业中心、学术交流中心、科技服务用房、农学实践基地</w:t>
      </w:r>
      <w:r>
        <w:rPr>
          <w:rFonts w:hint="eastAsia" w:ascii="仿宋" w:hAnsi="仿宋" w:eastAsia="仿宋" w:cs="仿宋"/>
          <w:color w:val="0070C0"/>
          <w:kern w:val="0"/>
          <w:sz w:val="30"/>
          <w:szCs w:val="30"/>
          <w:u w:val="none"/>
          <w:lang w:val="en-US" w:eastAsia="zh-CN"/>
        </w:rPr>
        <w:t>、</w:t>
      </w:r>
      <w:r>
        <w:rPr>
          <w:rFonts w:hint="eastAsia" w:ascii="仿宋" w:hAnsi="仿宋" w:eastAsia="仿宋" w:cs="仿宋"/>
          <w:color w:val="000000" w:themeColor="text1"/>
          <w:kern w:val="0"/>
          <w:sz w:val="30"/>
          <w:szCs w:val="30"/>
          <w:u w:val="none"/>
          <w:lang w:val="en-US" w:eastAsia="zh-CN"/>
          <w14:textFill>
            <w14:solidFill>
              <w14:schemeClr w14:val="tx1"/>
            </w14:solidFill>
          </w14:textFill>
        </w:rPr>
        <w:t>体育馆、青年人才公寓等，满足师生教学、科研、生活需求。2021年完成一期续建工程。2022年建成第三教学楼、第三学生食堂、八栋学生公寓、实</w:t>
      </w:r>
      <w:r>
        <w:rPr>
          <w:rFonts w:hint="eastAsia" w:ascii="仿宋_GB2312" w:hAnsi="仿宋_GB2312" w:eastAsia="仿宋_GB2312" w:cs="仿宋_GB2312"/>
          <w:color w:val="000000" w:themeColor="text1"/>
          <w:kern w:val="0"/>
          <w:sz w:val="30"/>
          <w:szCs w:val="30"/>
          <w:u w:val="none"/>
          <w:lang w:val="en-US" w:eastAsia="zh-CN" w:bidi="ar"/>
          <w14:textFill>
            <w14:solidFill>
              <w14:schemeClr w14:val="tx1"/>
            </w14:solidFill>
          </w14:textFill>
        </w:rPr>
        <w:t>验楼组团、标准田径场，总建筑面积12万平方米。2025年前完成建设五栋学生公寓、实训楼、教师行政办公用房、师生活动用房等，总建筑面积23万平方米，到“十四五”末教学行政用房面积达到29.1万平方米。</w:t>
      </w:r>
      <w:r>
        <w:rPr>
          <w:rFonts w:hint="eastAsia" w:ascii="仿宋" w:hAnsi="仿宋" w:eastAsia="仿宋" w:cs="仿宋"/>
          <w:color w:val="000000" w:themeColor="text1"/>
          <w:kern w:val="0"/>
          <w:sz w:val="30"/>
          <w:szCs w:val="30"/>
          <w:u w:val="none"/>
          <w:lang w:val="en-US" w:eastAsia="zh-CN" w:bidi="ar"/>
          <w14:textFill>
            <w14:solidFill>
              <w14:schemeClr w14:val="tx1"/>
            </w14:solidFill>
          </w14:textFill>
        </w:rPr>
        <w:t>完善配套设施建设和校园文化景点建设，整体建成山水园林式现代大学校园、文明和谐校园。</w:t>
      </w:r>
    </w:p>
    <w:p>
      <w:pPr>
        <w:keepNext w:val="0"/>
        <w:keepLines w:val="0"/>
        <w:pageBreakBefore w:val="0"/>
        <w:widowControl/>
        <w:suppressLineNumbers w:val="0"/>
        <w:kinsoku/>
        <w:wordWrap/>
        <w:overflowPunct/>
        <w:topLinePunct w:val="0"/>
        <w:autoSpaceDE/>
        <w:autoSpaceDN/>
        <w:bidi w:val="0"/>
        <w:adjustRightInd/>
        <w:snapToGrid/>
        <w:spacing w:line="520" w:lineRule="exact"/>
        <w:ind w:left="0" w:leftChars="0" w:firstLine="602" w:firstLineChars="200"/>
        <w:jc w:val="both"/>
        <w:textAlignment w:val="auto"/>
        <w:outlineLvl w:val="2"/>
        <w:rPr>
          <w:rFonts w:hint="eastAsia" w:ascii="仿宋" w:hAnsi="仿宋" w:eastAsia="仿宋" w:cs="仿宋"/>
          <w:b/>
          <w:bCs/>
          <w:color w:val="000000" w:themeColor="text1"/>
          <w:kern w:val="0"/>
          <w:sz w:val="30"/>
          <w:szCs w:val="30"/>
          <w:u w:val="none"/>
          <w:lang w:val="en-US" w:eastAsia="zh-CN" w:bidi="zh-CN"/>
          <w14:textFill>
            <w14:solidFill>
              <w14:schemeClr w14:val="tx1"/>
            </w14:solidFill>
          </w14:textFill>
        </w:rPr>
      </w:pPr>
      <w:bookmarkStart w:id="112" w:name="_Toc4523"/>
      <w:r>
        <w:rPr>
          <w:rFonts w:hint="eastAsia" w:ascii="仿宋" w:hAnsi="仿宋" w:eastAsia="仿宋" w:cs="仿宋"/>
          <w:b/>
          <w:bCs/>
          <w:color w:val="000000" w:themeColor="text1"/>
          <w:kern w:val="0"/>
          <w:sz w:val="30"/>
          <w:szCs w:val="30"/>
          <w:u w:val="none"/>
          <w:lang w:val="en-US" w:eastAsia="zh-CN" w:bidi="zh-CN"/>
          <w14:textFill>
            <w14:solidFill>
              <w14:schemeClr w14:val="tx1"/>
            </w14:solidFill>
          </w14:textFill>
        </w:rPr>
        <w:t>3.加大开放办学力度，积极拓展办学空间</w:t>
      </w:r>
      <w:bookmarkEnd w:id="112"/>
      <w:r>
        <w:rPr>
          <w:rFonts w:hint="eastAsia" w:ascii="仿宋" w:hAnsi="仿宋" w:eastAsia="仿宋" w:cs="仿宋"/>
          <w:b/>
          <w:bCs/>
          <w:color w:val="000000" w:themeColor="text1"/>
          <w:kern w:val="0"/>
          <w:sz w:val="30"/>
          <w:szCs w:val="30"/>
          <w:u w:val="none"/>
          <w:lang w:val="en-US" w:eastAsia="zh-CN" w:bidi="zh-CN"/>
          <w14:textFill>
            <w14:solidFill>
              <w14:schemeClr w14:val="tx1"/>
            </w14:solidFill>
          </w14:textFill>
        </w:rPr>
        <w:t xml:space="preserve"> </w:t>
      </w:r>
    </w:p>
    <w:p>
      <w:pPr>
        <w:keepNext w:val="0"/>
        <w:keepLines w:val="0"/>
        <w:pageBreakBefore w:val="0"/>
        <w:widowControl/>
        <w:suppressLineNumbers w:val="0"/>
        <w:kinsoku/>
        <w:wordWrap/>
        <w:overflowPunct/>
        <w:topLinePunct w:val="0"/>
        <w:autoSpaceDE/>
        <w:autoSpaceDN/>
        <w:bidi w:val="0"/>
        <w:adjustRightInd/>
        <w:snapToGrid/>
        <w:spacing w:line="520" w:lineRule="exact"/>
        <w:ind w:left="0" w:leftChars="0" w:firstLine="600" w:firstLineChars="200"/>
        <w:jc w:val="both"/>
        <w:textAlignment w:val="auto"/>
        <w:rPr>
          <w:rFonts w:hint="eastAsia" w:ascii="仿宋" w:hAnsi="仿宋" w:eastAsia="仿宋" w:cs="仿宋"/>
          <w:color w:val="000000" w:themeColor="text1"/>
          <w:kern w:val="0"/>
          <w:sz w:val="30"/>
          <w:szCs w:val="30"/>
          <w:u w:val="none"/>
          <w:lang w:val="en-US" w:eastAsia="zh-CN" w:bidi="ar"/>
          <w14:textFill>
            <w14:solidFill>
              <w14:schemeClr w14:val="tx1"/>
            </w14:solidFill>
          </w14:textFill>
        </w:rPr>
      </w:pPr>
      <w:r>
        <w:rPr>
          <w:rFonts w:hint="eastAsia" w:ascii="仿宋" w:hAnsi="仿宋" w:eastAsia="仿宋" w:cs="仿宋"/>
          <w:color w:val="000000" w:themeColor="text1"/>
          <w:kern w:val="0"/>
          <w:sz w:val="30"/>
          <w:szCs w:val="30"/>
          <w:u w:val="none"/>
          <w:lang w:val="en-US" w:eastAsia="zh-CN"/>
          <w14:textFill>
            <w14:solidFill>
              <w14:schemeClr w14:val="tx1"/>
            </w14:solidFill>
          </w14:textFill>
        </w:rPr>
        <w:t>加强国内外交流与合作，充分吸纳优质教育资源，构建开放办学格局，提升国际化办学水平。植根信阳、</w:t>
      </w:r>
      <w:r>
        <w:rPr>
          <w:rFonts w:hint="eastAsia" w:ascii="仿宋" w:hAnsi="仿宋" w:eastAsia="仿宋" w:cs="仿宋"/>
          <w:color w:val="0000FF"/>
          <w:kern w:val="0"/>
          <w:sz w:val="30"/>
          <w:szCs w:val="30"/>
          <w:u w:val="none"/>
          <w:lang w:val="en-US" w:eastAsia="zh-CN"/>
        </w:rPr>
        <w:t>服务河南、辐射全国</w:t>
      </w:r>
      <w:r>
        <w:rPr>
          <w:rFonts w:hint="eastAsia" w:ascii="仿宋" w:hAnsi="仿宋" w:eastAsia="仿宋" w:cs="仿宋"/>
          <w:color w:val="000000" w:themeColor="text1"/>
          <w:kern w:val="0"/>
          <w:sz w:val="30"/>
          <w:szCs w:val="30"/>
          <w:u w:val="none"/>
          <w:lang w:val="en-US" w:eastAsia="zh-CN"/>
          <w14:textFill>
            <w14:solidFill>
              <w14:schemeClr w14:val="tx1"/>
            </w14:solidFill>
          </w14:textFill>
        </w:rPr>
        <w:t>，服务地方</w:t>
      </w:r>
      <w:r>
        <w:rPr>
          <w:rFonts w:hint="eastAsia" w:ascii="仿宋" w:hAnsi="仿宋" w:eastAsia="仿宋" w:cs="仿宋"/>
          <w:color w:val="auto"/>
          <w:kern w:val="0"/>
          <w:sz w:val="30"/>
          <w:szCs w:val="30"/>
          <w:u w:val="none"/>
          <w:lang w:val="en-US" w:eastAsia="zh-CN"/>
        </w:rPr>
        <w:t>行业产业和乡村振兴</w:t>
      </w:r>
      <w:r>
        <w:rPr>
          <w:rFonts w:hint="eastAsia" w:ascii="仿宋" w:hAnsi="仿宋" w:eastAsia="仿宋" w:cs="仿宋"/>
          <w:color w:val="000000" w:themeColor="text1"/>
          <w:kern w:val="0"/>
          <w:sz w:val="30"/>
          <w:szCs w:val="30"/>
          <w:u w:val="none"/>
          <w:lang w:val="en-US" w:eastAsia="zh-CN"/>
          <w14:textFill>
            <w14:solidFill>
              <w14:schemeClr w14:val="tx1"/>
            </w14:solidFill>
          </w14:textFill>
        </w:rPr>
        <w:t>，主动融入区域经济社会发展，拓展与政府、学校、科研院所、行业企业合作的广度和深度，为学校发展争取更为广阔的发展空间。</w:t>
      </w:r>
      <w:r>
        <w:rPr>
          <w:rFonts w:hint="eastAsia" w:ascii="仿宋" w:hAnsi="仿宋" w:eastAsia="仿宋" w:cs="仿宋"/>
          <w:color w:val="000000" w:themeColor="text1"/>
          <w:kern w:val="0"/>
          <w:sz w:val="30"/>
          <w:szCs w:val="30"/>
          <w:u w:val="none"/>
          <w:lang w:val="en-US" w:eastAsia="zh-CN" w:bidi="ar"/>
          <w14:textFill>
            <w14:solidFill>
              <w14:schemeClr w14:val="tx1"/>
            </w14:solidFill>
          </w14:textFill>
        </w:rPr>
        <w:t>通过加大科技成果转化、积极开展社会募捐、多方吸引校友和企业捐赠、争取上级和地方政府支持等措施，拓宽资金来源渠道。</w:t>
      </w:r>
    </w:p>
    <w:p>
      <w:pPr>
        <w:keepNext w:val="0"/>
        <w:keepLines w:val="0"/>
        <w:pageBreakBefore w:val="0"/>
        <w:widowControl/>
        <w:suppressLineNumbers w:val="0"/>
        <w:kinsoku/>
        <w:wordWrap/>
        <w:overflowPunct/>
        <w:topLinePunct w:val="0"/>
        <w:autoSpaceDE/>
        <w:autoSpaceDN/>
        <w:bidi w:val="0"/>
        <w:adjustRightInd/>
        <w:snapToGrid/>
        <w:spacing w:line="520" w:lineRule="exact"/>
        <w:ind w:left="0" w:leftChars="0" w:firstLine="602" w:firstLineChars="200"/>
        <w:jc w:val="both"/>
        <w:textAlignment w:val="auto"/>
        <w:outlineLvl w:val="2"/>
        <w:rPr>
          <w:rFonts w:hint="eastAsia" w:ascii="仿宋" w:hAnsi="仿宋" w:eastAsia="仿宋" w:cs="仿宋"/>
          <w:b/>
          <w:bCs/>
          <w:color w:val="000000" w:themeColor="text1"/>
          <w:kern w:val="0"/>
          <w:sz w:val="30"/>
          <w:szCs w:val="30"/>
          <w:u w:val="none"/>
          <w:lang w:val="en-US" w:eastAsia="zh-CN" w:bidi="ar"/>
          <w14:textFill>
            <w14:solidFill>
              <w14:schemeClr w14:val="tx1"/>
            </w14:solidFill>
          </w14:textFill>
        </w:rPr>
      </w:pPr>
      <w:bookmarkStart w:id="113" w:name="_Toc22046"/>
      <w:r>
        <w:rPr>
          <w:rFonts w:hint="eastAsia" w:ascii="仿宋" w:hAnsi="仿宋" w:eastAsia="仿宋" w:cs="仿宋"/>
          <w:b/>
          <w:bCs/>
          <w:color w:val="000000" w:themeColor="text1"/>
          <w:kern w:val="0"/>
          <w:sz w:val="30"/>
          <w:szCs w:val="30"/>
          <w:u w:val="none"/>
          <w:lang w:val="en-US" w:eastAsia="zh-CN" w:bidi="ar"/>
          <w14:textFill>
            <w14:solidFill>
              <w14:schemeClr w14:val="tx1"/>
            </w14:solidFill>
          </w14:textFill>
        </w:rPr>
        <w:t>4.加强财务精细化管理，</w:t>
      </w:r>
      <w:r>
        <w:rPr>
          <w:rFonts w:hint="eastAsia" w:ascii="仿宋" w:hAnsi="仿宋" w:eastAsia="仿宋" w:cs="仿宋"/>
          <w:b/>
          <w:bCs/>
          <w:color w:val="0000FF"/>
          <w:kern w:val="0"/>
          <w:sz w:val="30"/>
          <w:szCs w:val="30"/>
          <w:u w:val="none"/>
          <w:lang w:val="en-US" w:eastAsia="zh-CN" w:bidi="ar"/>
        </w:rPr>
        <w:t>优化办学资源要素</w:t>
      </w:r>
      <w:bookmarkEnd w:id="113"/>
    </w:p>
    <w:p>
      <w:pPr>
        <w:pStyle w:val="7"/>
        <w:keepNext w:val="0"/>
        <w:keepLines w:val="0"/>
        <w:pageBreakBefore w:val="0"/>
        <w:numPr>
          <w:ilvl w:val="0"/>
          <w:numId w:val="0"/>
        </w:numPr>
        <w:kinsoku/>
        <w:wordWrap/>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rPr>
          <w:rFonts w:hint="eastAsia" w:ascii="仿宋" w:hAnsi="仿宋" w:eastAsia="仿宋" w:cs="仿宋"/>
          <w:color w:val="000000" w:themeColor="text1"/>
          <w:kern w:val="0"/>
          <w:sz w:val="30"/>
          <w:szCs w:val="30"/>
          <w:u w:val="none"/>
          <w:lang w:val="en-US" w:eastAsia="zh-CN"/>
          <w14:textFill>
            <w14:solidFill>
              <w14:schemeClr w14:val="tx1"/>
            </w14:solidFill>
          </w14:textFill>
        </w:rPr>
      </w:pPr>
      <w:r>
        <w:rPr>
          <w:rFonts w:hint="eastAsia" w:ascii="仿宋" w:hAnsi="仿宋" w:eastAsia="仿宋" w:cs="仿宋"/>
          <w:color w:val="000000" w:themeColor="text1"/>
          <w:kern w:val="0"/>
          <w:sz w:val="30"/>
          <w:szCs w:val="30"/>
          <w:u w:val="none"/>
          <w:lang w:val="en-US" w:eastAsia="zh-CN" w:bidi="ar-SA"/>
          <w14:textFill>
            <w14:solidFill>
              <w14:schemeClr w14:val="tx1"/>
            </w14:solidFill>
          </w14:textFill>
        </w:rPr>
        <w:t>作为</w:t>
      </w:r>
      <w:r>
        <w:rPr>
          <w:rFonts w:hint="eastAsia" w:cs="仿宋"/>
          <w:color w:val="000000" w:themeColor="text1"/>
          <w:kern w:val="0"/>
          <w:sz w:val="30"/>
          <w:szCs w:val="30"/>
          <w:u w:val="none"/>
          <w:lang w:val="en-US" w:eastAsia="zh-CN" w:bidi="ar-SA"/>
          <w14:textFill>
            <w14:solidFill>
              <w14:schemeClr w14:val="tx1"/>
            </w14:solidFill>
          </w14:textFill>
        </w:rPr>
        <w:t>地方</w:t>
      </w:r>
      <w:r>
        <w:rPr>
          <w:rFonts w:hint="eastAsia" w:ascii="仿宋" w:hAnsi="仿宋" w:eastAsia="仿宋" w:cs="仿宋"/>
          <w:color w:val="000000" w:themeColor="text1"/>
          <w:kern w:val="0"/>
          <w:sz w:val="30"/>
          <w:szCs w:val="30"/>
          <w:u w:val="none"/>
          <w:lang w:val="en-US" w:eastAsia="zh-CN" w:bidi="ar-SA"/>
          <w14:textFill>
            <w14:solidFill>
              <w14:schemeClr w14:val="tx1"/>
            </w14:solidFill>
          </w14:textFill>
        </w:rPr>
        <w:t>高校，</w:t>
      </w:r>
      <w:r>
        <w:rPr>
          <w:rFonts w:hint="eastAsia" w:cs="仿宋"/>
          <w:color w:val="000000" w:themeColor="text1"/>
          <w:kern w:val="0"/>
          <w:sz w:val="30"/>
          <w:szCs w:val="30"/>
          <w:u w:val="none"/>
          <w:lang w:val="en-US" w:eastAsia="zh-CN" w:bidi="ar-SA"/>
          <w14:textFill>
            <w14:solidFill>
              <w14:schemeClr w14:val="tx1"/>
            </w14:solidFill>
          </w14:textFill>
        </w:rPr>
        <w:t>学校</w:t>
      </w:r>
      <w:r>
        <w:rPr>
          <w:rFonts w:hint="eastAsia" w:ascii="仿宋" w:hAnsi="仿宋" w:eastAsia="仿宋" w:cs="仿宋"/>
          <w:color w:val="000000" w:themeColor="text1"/>
          <w:kern w:val="0"/>
          <w:sz w:val="30"/>
          <w:szCs w:val="30"/>
          <w:u w:val="none"/>
          <w:lang w:val="en-US" w:eastAsia="zh-CN" w:bidi="ar-SA"/>
          <w14:textFill>
            <w14:solidFill>
              <w14:schemeClr w14:val="tx1"/>
            </w14:solidFill>
          </w14:textFill>
        </w:rPr>
        <w:t>要在市委、市政府的正确领导下，积极争取政策和资金方面的支持，促进办学经费投入，改善办学条件。坚持依法理财和统筹兼顾，集中财力重点支持教学科研工作、学科建设、人才队伍建设、实验室建设和校园基本建设；进一步提</w:t>
      </w:r>
      <w:r>
        <w:rPr>
          <w:rFonts w:hint="eastAsia" w:ascii="仿宋" w:hAnsi="仿宋" w:eastAsia="仿宋" w:cs="仿宋"/>
          <w:color w:val="000000" w:themeColor="text1"/>
          <w:kern w:val="0"/>
          <w:sz w:val="30"/>
          <w:szCs w:val="30"/>
          <w:u w:val="none"/>
          <w:lang w:val="en-US" w:eastAsia="zh-CN"/>
          <w14:textFill>
            <w14:solidFill>
              <w14:schemeClr w14:val="tx1"/>
            </w14:solidFill>
          </w14:textFill>
        </w:rPr>
        <w:t>升财务管理水平，规范校内经济行为，加强资金使用环节控制，提高资金使用效益，确保学校资金安全。强化财务监督管理，依法依规全面开展内部审计工作，促进学校经济活动规范高效运行。完善学校资产管理机制，规范资产</w:t>
      </w:r>
      <w:r>
        <w:rPr>
          <w:rFonts w:hint="eastAsia" w:ascii="仿宋" w:hAnsi="仿宋" w:eastAsia="仿宋" w:cs="仿宋"/>
          <w:color w:val="000000" w:themeColor="text1"/>
          <w:kern w:val="0"/>
          <w:sz w:val="30"/>
          <w:szCs w:val="30"/>
          <w:highlight w:val="none"/>
          <w:u w:val="none"/>
          <w:lang w:val="en-US" w:eastAsia="zh-CN"/>
          <w14:textFill>
            <w14:solidFill>
              <w14:schemeClr w14:val="tx1"/>
            </w14:solidFill>
          </w14:textFill>
        </w:rPr>
        <w:t>账物</w:t>
      </w:r>
      <w:r>
        <w:rPr>
          <w:rFonts w:hint="eastAsia" w:ascii="仿宋" w:hAnsi="仿宋" w:eastAsia="仿宋" w:cs="仿宋"/>
          <w:color w:val="000000" w:themeColor="text1"/>
          <w:kern w:val="0"/>
          <w:sz w:val="30"/>
          <w:szCs w:val="30"/>
          <w:u w:val="none"/>
          <w:lang w:val="en-US" w:eastAsia="zh-CN"/>
          <w14:textFill>
            <w14:solidFill>
              <w14:schemeClr w14:val="tx1"/>
            </w14:solidFill>
          </w14:textFill>
        </w:rPr>
        <w:t>管理，科学合理配置校内资源。</w:t>
      </w:r>
    </w:p>
    <w:p>
      <w:pPr>
        <w:pStyle w:val="7"/>
        <w:keepNext w:val="0"/>
        <w:keepLines w:val="0"/>
        <w:pageBreakBefore w:val="0"/>
        <w:numPr>
          <w:ilvl w:val="0"/>
          <w:numId w:val="0"/>
        </w:numPr>
        <w:kinsoku/>
        <w:wordWrap/>
        <w:overflowPunct/>
        <w:topLinePunct w:val="0"/>
        <w:autoSpaceDE/>
        <w:autoSpaceDN/>
        <w:bidi w:val="0"/>
        <w:adjustRightInd/>
        <w:snapToGrid/>
        <w:spacing w:beforeAutospacing="0" w:afterAutospacing="0" w:line="520" w:lineRule="exact"/>
        <w:ind w:left="0" w:leftChars="0" w:right="0" w:rightChars="0" w:firstLine="602" w:firstLineChars="200"/>
        <w:jc w:val="both"/>
        <w:textAlignment w:val="auto"/>
        <w:outlineLvl w:val="2"/>
        <w:rPr>
          <w:rFonts w:hint="eastAsia" w:ascii="仿宋" w:hAnsi="仿宋" w:eastAsia="仿宋" w:cs="仿宋"/>
          <w:b/>
          <w:bCs/>
          <w:color w:val="000000" w:themeColor="text1"/>
          <w:kern w:val="0"/>
          <w:sz w:val="30"/>
          <w:szCs w:val="30"/>
          <w:u w:val="none"/>
          <w:lang w:val="en-US" w:eastAsia="zh-CN"/>
          <w14:textFill>
            <w14:solidFill>
              <w14:schemeClr w14:val="tx1"/>
            </w14:solidFill>
          </w14:textFill>
        </w:rPr>
      </w:pPr>
      <w:bookmarkStart w:id="114" w:name="_Toc27413"/>
      <w:r>
        <w:rPr>
          <w:rFonts w:hint="eastAsia" w:cs="仿宋"/>
          <w:b/>
          <w:bCs/>
          <w:color w:val="000000" w:themeColor="text1"/>
          <w:kern w:val="0"/>
          <w:sz w:val="30"/>
          <w:szCs w:val="30"/>
          <w:u w:val="none"/>
          <w:lang w:val="en-US" w:eastAsia="zh-CN"/>
          <w14:textFill>
            <w14:solidFill>
              <w14:schemeClr w14:val="tx1"/>
            </w14:solidFill>
          </w14:textFill>
        </w:rPr>
        <w:t>5</w:t>
      </w:r>
      <w:r>
        <w:rPr>
          <w:rFonts w:hint="eastAsia" w:ascii="仿宋" w:hAnsi="仿宋" w:eastAsia="仿宋" w:cs="仿宋"/>
          <w:b/>
          <w:bCs/>
          <w:color w:val="000000" w:themeColor="text1"/>
          <w:kern w:val="0"/>
          <w:sz w:val="30"/>
          <w:szCs w:val="30"/>
          <w:u w:val="none"/>
          <w:lang w:val="en-US" w:eastAsia="zh-CN"/>
          <w14:textFill>
            <w14:solidFill>
              <w14:schemeClr w14:val="tx1"/>
            </w14:solidFill>
          </w14:textFill>
        </w:rPr>
        <w:t>.完善后勤服务保障体系，打造服务育人阵地</w:t>
      </w:r>
      <w:bookmarkEnd w:id="114"/>
    </w:p>
    <w:p>
      <w:pPr>
        <w:pStyle w:val="7"/>
        <w:keepNext w:val="0"/>
        <w:keepLines w:val="0"/>
        <w:pageBreakBefore w:val="0"/>
        <w:numPr>
          <w:ilvl w:val="0"/>
          <w:numId w:val="0"/>
        </w:numPr>
        <w:kinsoku/>
        <w:wordWrap/>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rPr>
          <w:rFonts w:hint="eastAsia" w:ascii="仿宋" w:hAnsi="仿宋" w:eastAsia="仿宋" w:cs="仿宋"/>
          <w:color w:val="000000" w:themeColor="text1"/>
          <w:kern w:val="0"/>
          <w:sz w:val="30"/>
          <w:szCs w:val="30"/>
          <w:u w:val="none"/>
          <w:lang w:val="en-US" w:eastAsia="zh-CN"/>
          <w14:textFill>
            <w14:solidFill>
              <w14:schemeClr w14:val="tx1"/>
            </w14:solidFill>
          </w14:textFill>
        </w:rPr>
      </w:pPr>
      <w:r>
        <w:rPr>
          <w:rFonts w:hint="eastAsia" w:ascii="仿宋" w:hAnsi="仿宋" w:eastAsia="仿宋" w:cs="仿宋"/>
          <w:color w:val="000000" w:themeColor="text1"/>
          <w:kern w:val="0"/>
          <w:sz w:val="30"/>
          <w:szCs w:val="30"/>
          <w:u w:val="none"/>
          <w:lang w:val="en-US" w:eastAsia="zh-CN"/>
          <w14:textFill>
            <w14:solidFill>
              <w14:schemeClr w14:val="tx1"/>
            </w14:solidFill>
          </w14:textFill>
        </w:rPr>
        <w:t>稳步构建现代化后勤服务保障体系，建设“满意后勤、高效后勤、和谐后勤”。完善现有设备的保养和使用年限，加大节能减排宣传教育工作，建设节约型校园。对水、电、暖等进行成本核算，探索资源有偿使用。深化后勤管理改革，吸引社会优质资源，参与学校校园维修、绿化、餐饮、卫生等服务，全面提升后勤保障能力和服务</w:t>
      </w:r>
      <w:r>
        <w:rPr>
          <w:rFonts w:hint="eastAsia" w:cs="仿宋"/>
          <w:color w:val="000000" w:themeColor="text1"/>
          <w:kern w:val="0"/>
          <w:sz w:val="30"/>
          <w:szCs w:val="30"/>
          <w:u w:val="none"/>
          <w:lang w:val="en-US" w:eastAsia="zh-CN"/>
          <w14:textFill>
            <w14:solidFill>
              <w14:schemeClr w14:val="tx1"/>
            </w14:solidFill>
          </w14:textFill>
        </w:rPr>
        <w:t>育人</w:t>
      </w:r>
      <w:r>
        <w:rPr>
          <w:rFonts w:hint="eastAsia" w:ascii="仿宋" w:hAnsi="仿宋" w:eastAsia="仿宋" w:cs="仿宋"/>
          <w:color w:val="000000" w:themeColor="text1"/>
          <w:kern w:val="0"/>
          <w:sz w:val="30"/>
          <w:szCs w:val="30"/>
          <w:u w:val="none"/>
          <w:lang w:val="en-US" w:eastAsia="zh-CN"/>
          <w14:textFill>
            <w14:solidFill>
              <w14:schemeClr w14:val="tx1"/>
            </w14:solidFill>
          </w14:textFill>
        </w:rPr>
        <w:t>质量。</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630" w:leftChars="0"/>
        <w:textAlignment w:val="auto"/>
        <w:outlineLvl w:val="1"/>
        <w:rPr>
          <w:rFonts w:hint="eastAsia" w:ascii="仿宋" w:hAnsi="仿宋" w:eastAsia="仿宋" w:cs="仿宋"/>
          <w:color w:val="000000" w:themeColor="text1"/>
          <w:sz w:val="30"/>
          <w:szCs w:val="30"/>
          <w:u w:val="none"/>
          <w14:textFill>
            <w14:solidFill>
              <w14:schemeClr w14:val="tx1"/>
            </w14:solidFill>
          </w14:textFill>
        </w:rPr>
      </w:pPr>
      <w:bookmarkStart w:id="115" w:name="_Toc12397"/>
      <w:r>
        <w:rPr>
          <w:rFonts w:hint="eastAsia" w:ascii="仿宋" w:hAnsi="仿宋" w:eastAsia="仿宋" w:cs="仿宋"/>
          <w:color w:val="000000" w:themeColor="text1"/>
          <w:sz w:val="30"/>
          <w:szCs w:val="30"/>
          <w:u w:val="none"/>
          <w:lang w:eastAsia="zh-CN"/>
          <w14:textFill>
            <w14:solidFill>
              <w14:schemeClr w14:val="tx1"/>
            </w14:solidFill>
          </w14:textFill>
        </w:rPr>
        <w:t>（二）</w:t>
      </w:r>
      <w:r>
        <w:rPr>
          <w:rFonts w:hint="eastAsia" w:ascii="仿宋" w:hAnsi="仿宋" w:eastAsia="仿宋" w:cs="仿宋"/>
          <w:color w:val="000000" w:themeColor="text1"/>
          <w:sz w:val="30"/>
          <w:szCs w:val="30"/>
          <w:u w:val="none"/>
          <w14:textFill>
            <w14:solidFill>
              <w14:schemeClr w14:val="tx1"/>
            </w14:solidFill>
          </w14:textFill>
        </w:rPr>
        <w:t>完善实施体系，强化组织保障</w:t>
      </w:r>
      <w:bookmarkEnd w:id="115"/>
    </w:p>
    <w:p>
      <w:pPr>
        <w:pStyle w:val="16"/>
        <w:keepNext w:val="0"/>
        <w:keepLines w:val="0"/>
        <w:pageBreakBefore w:val="0"/>
        <w:widowControl w:val="0"/>
        <w:numPr>
          <w:ilvl w:val="0"/>
          <w:numId w:val="0"/>
        </w:numPr>
        <w:tabs>
          <w:tab w:val="left" w:pos="1239"/>
        </w:tabs>
        <w:kinsoku/>
        <w:wordWrap/>
        <w:overflowPunct/>
        <w:topLinePunct w:val="0"/>
        <w:autoSpaceDE/>
        <w:autoSpaceDN/>
        <w:bidi w:val="0"/>
        <w:adjustRightInd/>
        <w:snapToGrid/>
        <w:spacing w:before="0" w:line="520" w:lineRule="exact"/>
        <w:ind w:left="0" w:leftChars="0" w:right="0" w:rightChars="0" w:firstLine="602" w:firstLineChars="200"/>
        <w:jc w:val="both"/>
        <w:textAlignment w:val="auto"/>
        <w:outlineLvl w:val="2"/>
        <w:rPr>
          <w:rFonts w:hint="eastAsia" w:ascii="仿宋" w:hAnsi="仿宋" w:eastAsia="仿宋" w:cs="仿宋"/>
          <w:b/>
          <w:color w:val="000000" w:themeColor="text1"/>
          <w:sz w:val="30"/>
          <w:szCs w:val="30"/>
          <w:u w:val="none"/>
          <w:lang w:eastAsia="zh-CN"/>
          <w14:textFill>
            <w14:solidFill>
              <w14:schemeClr w14:val="tx1"/>
            </w14:solidFill>
          </w14:textFill>
        </w:rPr>
      </w:pPr>
      <w:bookmarkStart w:id="116" w:name="_Toc4637"/>
      <w:r>
        <w:rPr>
          <w:rFonts w:hint="eastAsia" w:ascii="仿宋" w:hAnsi="仿宋" w:eastAsia="仿宋" w:cs="仿宋"/>
          <w:b/>
          <w:color w:val="000000" w:themeColor="text1"/>
          <w:sz w:val="30"/>
          <w:szCs w:val="30"/>
          <w:u w:val="none"/>
          <w:lang w:val="en-US" w:eastAsia="zh-CN"/>
          <w14:textFill>
            <w14:solidFill>
              <w14:schemeClr w14:val="tx1"/>
            </w14:solidFill>
          </w14:textFill>
        </w:rPr>
        <w:t>1.</w:t>
      </w:r>
      <w:r>
        <w:rPr>
          <w:rFonts w:hint="eastAsia" w:ascii="仿宋" w:hAnsi="仿宋" w:eastAsia="仿宋" w:cs="仿宋"/>
          <w:b/>
          <w:color w:val="000000" w:themeColor="text1"/>
          <w:sz w:val="30"/>
          <w:szCs w:val="30"/>
          <w:u w:val="none"/>
          <w14:textFill>
            <w14:solidFill>
              <w14:schemeClr w14:val="tx1"/>
            </w14:solidFill>
          </w14:textFill>
        </w:rPr>
        <w:t>建立规划组织体系，</w:t>
      </w:r>
      <w:r>
        <w:rPr>
          <w:rFonts w:hint="eastAsia" w:ascii="仿宋" w:hAnsi="仿宋" w:eastAsia="仿宋" w:cs="仿宋"/>
          <w:b/>
          <w:color w:val="000000" w:themeColor="text1"/>
          <w:sz w:val="30"/>
          <w:szCs w:val="30"/>
          <w:u w:val="none"/>
          <w:lang w:eastAsia="zh-CN"/>
          <w14:textFill>
            <w14:solidFill>
              <w14:schemeClr w14:val="tx1"/>
            </w14:solidFill>
          </w14:textFill>
        </w:rPr>
        <w:t>做好任务分解</w:t>
      </w:r>
      <w:bookmarkEnd w:id="116"/>
    </w:p>
    <w:p>
      <w:pPr>
        <w:keepNext w:val="0"/>
        <w:keepLines w:val="0"/>
        <w:pageBreakBefore w:val="0"/>
        <w:kinsoku/>
        <w:wordWrap/>
        <w:overflowPunct/>
        <w:topLinePunct w:val="0"/>
        <w:autoSpaceDE/>
        <w:autoSpaceDN/>
        <w:bidi w:val="0"/>
        <w:adjustRightInd/>
        <w:snapToGrid/>
        <w:spacing w:line="520" w:lineRule="exact"/>
        <w:ind w:firstLine="600" w:firstLineChars="200"/>
        <w:textAlignment w:val="auto"/>
        <w:rPr>
          <w:rFonts w:hint="eastAsia" w:ascii="仿宋" w:hAnsi="仿宋" w:eastAsia="仿宋" w:cs="仿宋"/>
          <w:color w:val="000000" w:themeColor="text1"/>
          <w:kern w:val="0"/>
          <w:sz w:val="30"/>
          <w:szCs w:val="30"/>
          <w:u w:val="none"/>
          <w:lang w:val="en-US" w:eastAsia="zh-CN" w:bidi="zh-CN"/>
          <w14:textFill>
            <w14:solidFill>
              <w14:schemeClr w14:val="tx1"/>
            </w14:solidFill>
          </w14:textFill>
        </w:rPr>
      </w:pPr>
      <w:r>
        <w:rPr>
          <w:rFonts w:hint="eastAsia" w:ascii="仿宋" w:hAnsi="仿宋" w:eastAsia="仿宋" w:cs="仿宋"/>
          <w:color w:val="000000" w:themeColor="text1"/>
          <w:kern w:val="0"/>
          <w:sz w:val="30"/>
          <w:szCs w:val="30"/>
          <w:u w:val="none"/>
          <w:lang w:val="en-US" w:eastAsia="zh-CN" w:bidi="zh-CN"/>
          <w14:textFill>
            <w14:solidFill>
              <w14:schemeClr w14:val="tx1"/>
            </w14:solidFill>
          </w14:textFill>
        </w:rPr>
        <w:t>学校成立规划实施工作领导小组，加强对规划实施工作的组织领导。学校规划工作部门负责本规划的组织协调与实施，各有关部门积极配合，密切协作，形成全校上下齐抓共管、层层负责、合力推动的规划落实机制。要按照学校规划的总体部署，对规划进行任务分解。各部门要根据目标任务，进一步细化实施方案、明确完成时限、完善配套措施。要将规划与制定年度计划紧密结合起来，按照轻重缓急将规划目标和建设任务逐年分解到年度计划中，确保目标任务的落实。</w:t>
      </w:r>
    </w:p>
    <w:p>
      <w:pPr>
        <w:keepNext w:val="0"/>
        <w:keepLines w:val="0"/>
        <w:pageBreakBefore w:val="0"/>
        <w:kinsoku/>
        <w:wordWrap/>
        <w:overflowPunct/>
        <w:topLinePunct w:val="0"/>
        <w:autoSpaceDE/>
        <w:autoSpaceDN/>
        <w:bidi w:val="0"/>
        <w:adjustRightInd/>
        <w:snapToGrid/>
        <w:spacing w:line="520" w:lineRule="exact"/>
        <w:ind w:firstLine="602" w:firstLineChars="200"/>
        <w:textAlignment w:val="auto"/>
        <w:outlineLvl w:val="2"/>
        <w:rPr>
          <w:rFonts w:hint="eastAsia" w:ascii="仿宋" w:hAnsi="仿宋" w:eastAsia="仿宋" w:cs="仿宋"/>
          <w:b/>
          <w:bCs/>
          <w:color w:val="000000" w:themeColor="text1"/>
          <w:kern w:val="0"/>
          <w:sz w:val="30"/>
          <w:szCs w:val="30"/>
          <w:u w:val="none"/>
          <w:lang w:val="en-US" w:eastAsia="zh-CN" w:bidi="zh-CN"/>
          <w14:textFill>
            <w14:solidFill>
              <w14:schemeClr w14:val="tx1"/>
            </w14:solidFill>
          </w14:textFill>
        </w:rPr>
      </w:pPr>
      <w:bookmarkStart w:id="117" w:name="_Toc23696"/>
      <w:r>
        <w:rPr>
          <w:rFonts w:hint="eastAsia" w:ascii="仿宋" w:hAnsi="仿宋" w:eastAsia="仿宋" w:cs="仿宋"/>
          <w:b/>
          <w:bCs/>
          <w:color w:val="000000" w:themeColor="text1"/>
          <w:kern w:val="0"/>
          <w:sz w:val="30"/>
          <w:szCs w:val="30"/>
          <w:u w:val="none"/>
          <w:lang w:val="en-US" w:eastAsia="zh-CN" w:bidi="zh-CN"/>
          <w14:textFill>
            <w14:solidFill>
              <w14:schemeClr w14:val="tx1"/>
            </w14:solidFill>
          </w14:textFill>
        </w:rPr>
        <w:t>2.健全目标评估考核，加强督导实施</w:t>
      </w:r>
      <w:bookmarkEnd w:id="117"/>
    </w:p>
    <w:p>
      <w:pPr>
        <w:keepNext w:val="0"/>
        <w:keepLines w:val="0"/>
        <w:pageBreakBefore w:val="0"/>
        <w:numPr>
          <w:ilvl w:val="0"/>
          <w:numId w:val="0"/>
        </w:numPr>
        <w:kinsoku/>
        <w:wordWrap/>
        <w:overflowPunct/>
        <w:topLinePunct w:val="0"/>
        <w:autoSpaceDE/>
        <w:autoSpaceDN/>
        <w:bidi w:val="0"/>
        <w:adjustRightInd/>
        <w:snapToGrid/>
        <w:spacing w:line="520" w:lineRule="exact"/>
        <w:ind w:left="0" w:leftChars="0" w:firstLine="600" w:firstLineChars="200"/>
        <w:textAlignment w:val="auto"/>
        <w:rPr>
          <w:rFonts w:hint="eastAsia" w:ascii="仿宋" w:hAnsi="仿宋" w:eastAsia="仿宋" w:cs="仿宋"/>
          <w:color w:val="000000" w:themeColor="text1"/>
          <w:kern w:val="0"/>
          <w:sz w:val="30"/>
          <w:szCs w:val="30"/>
          <w:u w:val="none"/>
          <w:lang w:val="en-US" w:eastAsia="zh-CN" w:bidi="zh-CN"/>
          <w14:textFill>
            <w14:solidFill>
              <w14:schemeClr w14:val="tx1"/>
            </w14:solidFill>
          </w14:textFill>
        </w:rPr>
      </w:pPr>
      <w:r>
        <w:rPr>
          <w:rFonts w:hint="eastAsia" w:ascii="仿宋" w:hAnsi="仿宋" w:eastAsia="仿宋" w:cs="仿宋"/>
          <w:color w:val="000000" w:themeColor="text1"/>
          <w:kern w:val="0"/>
          <w:sz w:val="30"/>
          <w:szCs w:val="30"/>
          <w:u w:val="none"/>
          <w:lang w:val="en-US" w:eastAsia="zh-CN" w:bidi="zh-CN"/>
          <w14:textFill>
            <w14:solidFill>
              <w14:schemeClr w14:val="tx1"/>
            </w14:solidFill>
          </w14:textFill>
        </w:rPr>
        <w:t>建立科学的规划评价系统和反馈机制。定期对规划实施过程、进度和是否达到预定目标进行监测评估和跟踪检查， 对规划实施方向、阶段性目标落实情况进行分析，及时发现问题，纠错纠偏。协调提高各部门、学院目标一致性，促进规划落实。及时将规划实施评估结果纳入规划修订程序，动态合理调整规划目标任务及举措。将规划实施情况纳入部门和学院绩效考核体系。</w:t>
      </w:r>
    </w:p>
    <w:p>
      <w:pPr>
        <w:keepNext w:val="0"/>
        <w:keepLines w:val="0"/>
        <w:pageBreakBefore w:val="0"/>
        <w:kinsoku/>
        <w:wordWrap/>
        <w:overflowPunct/>
        <w:topLinePunct w:val="0"/>
        <w:autoSpaceDE/>
        <w:autoSpaceDN/>
        <w:bidi w:val="0"/>
        <w:adjustRightInd/>
        <w:snapToGrid/>
        <w:spacing w:line="520" w:lineRule="exact"/>
        <w:ind w:left="0" w:leftChars="0" w:firstLine="602" w:firstLineChars="200"/>
        <w:textAlignment w:val="auto"/>
        <w:outlineLvl w:val="2"/>
        <w:rPr>
          <w:rFonts w:hint="eastAsia" w:ascii="仿宋" w:hAnsi="仿宋" w:eastAsia="仿宋" w:cs="仿宋"/>
          <w:b/>
          <w:bCs/>
          <w:color w:val="000000" w:themeColor="text1"/>
          <w:kern w:val="0"/>
          <w:sz w:val="30"/>
          <w:szCs w:val="30"/>
          <w:u w:val="none"/>
          <w:lang w:val="en-US" w:eastAsia="zh-CN" w:bidi="zh-CN"/>
          <w14:textFill>
            <w14:solidFill>
              <w14:schemeClr w14:val="tx1"/>
            </w14:solidFill>
          </w14:textFill>
        </w:rPr>
      </w:pPr>
      <w:bookmarkStart w:id="118" w:name="_Toc24732"/>
      <w:r>
        <w:rPr>
          <w:rFonts w:hint="eastAsia" w:ascii="仿宋" w:hAnsi="仿宋" w:eastAsia="仿宋" w:cs="仿宋"/>
          <w:b/>
          <w:bCs/>
          <w:color w:val="000000" w:themeColor="text1"/>
          <w:kern w:val="0"/>
          <w:sz w:val="30"/>
          <w:szCs w:val="30"/>
          <w:u w:val="none"/>
          <w:lang w:val="en-US" w:eastAsia="zh-CN" w:bidi="zh-CN"/>
          <w14:textFill>
            <w14:solidFill>
              <w14:schemeClr w14:val="tx1"/>
            </w14:solidFill>
          </w14:textFill>
        </w:rPr>
        <w:t>3.明确规划先导地位，强化</w:t>
      </w:r>
      <w:r>
        <w:rPr>
          <w:rFonts w:hint="eastAsia" w:ascii="仿宋" w:hAnsi="仿宋" w:eastAsia="仿宋" w:cs="仿宋"/>
          <w:b/>
          <w:bCs/>
          <w:color w:val="auto"/>
          <w:kern w:val="0"/>
          <w:sz w:val="30"/>
          <w:szCs w:val="30"/>
          <w:u w:val="none"/>
          <w:lang w:val="en-US" w:eastAsia="zh-CN" w:bidi="zh-CN"/>
        </w:rPr>
        <w:t>资金</w:t>
      </w:r>
      <w:r>
        <w:rPr>
          <w:rFonts w:hint="eastAsia" w:ascii="仿宋" w:hAnsi="仿宋" w:eastAsia="仿宋" w:cs="仿宋"/>
          <w:b/>
          <w:bCs/>
          <w:color w:val="000000" w:themeColor="text1"/>
          <w:kern w:val="0"/>
          <w:sz w:val="30"/>
          <w:szCs w:val="30"/>
          <w:u w:val="none"/>
          <w:lang w:val="en-US" w:eastAsia="zh-CN" w:bidi="zh-CN"/>
          <w14:textFill>
            <w14:solidFill>
              <w14:schemeClr w14:val="tx1"/>
            </w14:solidFill>
          </w14:textFill>
        </w:rPr>
        <w:t>保障</w:t>
      </w:r>
      <w:bookmarkEnd w:id="118"/>
    </w:p>
    <w:p>
      <w:pPr>
        <w:keepNext w:val="0"/>
        <w:keepLines w:val="0"/>
        <w:pageBreakBefore w:val="0"/>
        <w:numPr>
          <w:ilvl w:val="0"/>
          <w:numId w:val="0"/>
        </w:numPr>
        <w:kinsoku/>
        <w:wordWrap/>
        <w:overflowPunct/>
        <w:topLinePunct w:val="0"/>
        <w:autoSpaceDE/>
        <w:autoSpaceDN/>
        <w:bidi w:val="0"/>
        <w:adjustRightInd/>
        <w:snapToGrid/>
        <w:spacing w:line="520" w:lineRule="exact"/>
        <w:ind w:left="0" w:leftChars="0" w:firstLine="600" w:firstLineChars="200"/>
        <w:textAlignment w:val="auto"/>
        <w:rPr>
          <w:rFonts w:hint="eastAsia" w:ascii="仿宋" w:hAnsi="仿宋" w:eastAsia="仿宋" w:cs="仿宋"/>
          <w:color w:val="000000" w:themeColor="text1"/>
          <w:kern w:val="0"/>
          <w:sz w:val="30"/>
          <w:szCs w:val="30"/>
          <w:u w:val="none"/>
          <w:lang w:val="en-US" w:eastAsia="zh-CN" w:bidi="zh-CN"/>
          <w14:textFill>
            <w14:solidFill>
              <w14:schemeClr w14:val="tx1"/>
            </w14:solidFill>
          </w14:textFill>
        </w:rPr>
      </w:pPr>
      <w:r>
        <w:rPr>
          <w:rFonts w:hint="eastAsia" w:ascii="仿宋" w:hAnsi="仿宋" w:eastAsia="仿宋" w:cs="仿宋"/>
          <w:color w:val="000000" w:themeColor="text1"/>
          <w:kern w:val="0"/>
          <w:sz w:val="30"/>
          <w:szCs w:val="30"/>
          <w:u w:val="none"/>
          <w:lang w:val="en-US" w:eastAsia="zh-CN" w:bidi="zh-CN"/>
          <w14:textFill>
            <w14:solidFill>
              <w14:schemeClr w14:val="tx1"/>
            </w14:solidFill>
          </w14:textFill>
        </w:rPr>
        <w:t>以规划为导向，统筹全校人、财、物等资源，确保目标任务的顺利实施。学校财务预算要为规划实施提供有力的资金保障，明确资金在人才引进、质量工程、学科建设、特色打造等方面的重点投入，专项资金要与学校重点建设项目、重大发展计划相匹配，确保资金利用效率效益和匹配度的最大化。</w:t>
      </w:r>
      <w:bookmarkStart w:id="119" w:name="_Toc21627"/>
    </w:p>
    <w:p>
      <w:pPr>
        <w:keepNext w:val="0"/>
        <w:keepLines w:val="0"/>
        <w:pageBreakBefore w:val="0"/>
        <w:numPr>
          <w:ilvl w:val="0"/>
          <w:numId w:val="0"/>
        </w:numPr>
        <w:kinsoku/>
        <w:wordWrap/>
        <w:overflowPunct/>
        <w:topLinePunct w:val="0"/>
        <w:autoSpaceDE/>
        <w:autoSpaceDN/>
        <w:bidi w:val="0"/>
        <w:adjustRightInd/>
        <w:snapToGrid/>
        <w:spacing w:line="520" w:lineRule="exact"/>
        <w:textAlignment w:val="auto"/>
        <w:rPr>
          <w:rFonts w:hint="eastAsia" w:cs="仿宋"/>
          <w:b/>
          <w:bCs/>
          <w:color w:val="000000" w:themeColor="text1"/>
          <w:kern w:val="0"/>
          <w:sz w:val="30"/>
          <w:szCs w:val="30"/>
          <w:u w:val="none"/>
          <w:lang w:val="en-US" w:eastAsia="zh-CN"/>
          <w14:textFill>
            <w14:solidFill>
              <w14:schemeClr w14:val="tx1"/>
            </w14:solidFill>
          </w14:textFill>
        </w:rPr>
      </w:pPr>
    </w:p>
    <w:p>
      <w:pPr>
        <w:keepNext w:val="0"/>
        <w:keepLines w:val="0"/>
        <w:pageBreakBefore w:val="0"/>
        <w:numPr>
          <w:ilvl w:val="0"/>
          <w:numId w:val="0"/>
        </w:numPr>
        <w:kinsoku/>
        <w:wordWrap/>
        <w:overflowPunct/>
        <w:topLinePunct w:val="0"/>
        <w:autoSpaceDE/>
        <w:autoSpaceDN/>
        <w:bidi w:val="0"/>
        <w:adjustRightInd/>
        <w:snapToGrid/>
        <w:spacing w:line="520" w:lineRule="exact"/>
        <w:textAlignment w:val="auto"/>
        <w:rPr>
          <w:rFonts w:hint="eastAsia" w:cs="仿宋"/>
          <w:b/>
          <w:bCs/>
          <w:color w:val="000000" w:themeColor="text1"/>
          <w:kern w:val="0"/>
          <w:sz w:val="30"/>
          <w:szCs w:val="30"/>
          <w:u w:val="none"/>
          <w:lang w:val="en-US" w:eastAsia="zh-CN"/>
          <w14:textFill>
            <w14:solidFill>
              <w14:schemeClr w14:val="tx1"/>
            </w14:solidFill>
          </w14:textFill>
        </w:rPr>
      </w:pPr>
      <w:r>
        <w:rPr>
          <w:rFonts w:hint="eastAsia" w:cs="仿宋"/>
          <w:b/>
          <w:bCs/>
          <w:color w:val="000000" w:themeColor="text1"/>
          <w:kern w:val="0"/>
          <w:sz w:val="30"/>
          <w:szCs w:val="30"/>
          <w:u w:val="none"/>
          <w:lang w:val="en-US" w:eastAsia="zh-CN"/>
          <w14:textFill>
            <w14:solidFill>
              <w14:schemeClr w14:val="tx1"/>
            </w14:solidFill>
          </w14:textFill>
        </w:rPr>
        <w:t>附录：信阳农林学院“十四五”主要发展指标对照一览表</w:t>
      </w:r>
      <w:bookmarkEnd w:id="119"/>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cs="仿宋"/>
          <w:b/>
          <w:bCs/>
          <w:color w:val="000000" w:themeColor="text1"/>
          <w:kern w:val="0"/>
          <w:sz w:val="30"/>
          <w:szCs w:val="30"/>
          <w:u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cs="仿宋"/>
          <w:b/>
          <w:bCs/>
          <w:color w:val="000000" w:themeColor="text1"/>
          <w:kern w:val="0"/>
          <w:sz w:val="30"/>
          <w:szCs w:val="30"/>
          <w:u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Times New Roman" w:eastAsia="黑体" w:cs="Times New Roman"/>
          <w:color w:val="000000" w:themeColor="text1"/>
          <w:sz w:val="28"/>
          <w:szCs w:val="28"/>
          <w:u w:val="none"/>
          <w14:textFill>
            <w14:solidFill>
              <w14:schemeClr w14:val="tx1"/>
            </w14:solidFill>
          </w14:textFill>
        </w:rPr>
      </w:pPr>
      <w:r>
        <w:rPr>
          <w:rFonts w:hint="eastAsia" w:cs="仿宋"/>
          <w:b/>
          <w:bCs/>
          <w:color w:val="000000" w:themeColor="text1"/>
          <w:kern w:val="0"/>
          <w:sz w:val="30"/>
          <w:szCs w:val="30"/>
          <w:u w:val="none"/>
          <w:lang w:val="en-US" w:eastAsia="zh-CN"/>
          <w14:textFill>
            <w14:solidFill>
              <w14:schemeClr w14:val="tx1"/>
            </w14:solidFill>
          </w14:textFill>
        </w:rPr>
        <w:t>信阳农林学院“十四五”主要发展指标对照一览表</w:t>
      </w:r>
    </w:p>
    <w:tbl>
      <w:tblPr>
        <w:tblStyle w:val="14"/>
        <w:tblW w:w="9722" w:type="dxa"/>
        <w:jc w:val="center"/>
        <w:tblLayout w:type="fixed"/>
        <w:tblCellMar>
          <w:top w:w="0" w:type="dxa"/>
          <w:left w:w="108" w:type="dxa"/>
          <w:bottom w:w="0" w:type="dxa"/>
          <w:right w:w="108" w:type="dxa"/>
        </w:tblCellMar>
      </w:tblPr>
      <w:tblGrid>
        <w:gridCol w:w="469"/>
        <w:gridCol w:w="2855"/>
        <w:gridCol w:w="325"/>
        <w:gridCol w:w="3435"/>
        <w:gridCol w:w="1070"/>
        <w:gridCol w:w="1568"/>
      </w:tblGrid>
      <w:tr>
        <w:tblPrEx>
          <w:tblCellMar>
            <w:top w:w="0" w:type="dxa"/>
            <w:left w:w="108" w:type="dxa"/>
            <w:bottom w:w="0" w:type="dxa"/>
            <w:right w:w="108" w:type="dxa"/>
          </w:tblCellMar>
        </w:tblPrEx>
        <w:trPr>
          <w:trHeight w:val="409" w:hRule="exact"/>
          <w:jc w:val="center"/>
        </w:trPr>
        <w:tc>
          <w:tcPr>
            <w:tcW w:w="7084" w:type="dxa"/>
            <w:gridSpan w:val="4"/>
            <w:tcBorders>
              <w:top w:val="single" w:color="auto" w:sz="4" w:space="0"/>
              <w:left w:val="single" w:color="333333" w:sz="4" w:space="0"/>
              <w:bottom w:val="single" w:color="333333" w:sz="4" w:space="0"/>
              <w:right w:val="single" w:color="333333" w:sz="4" w:space="0"/>
            </w:tcBorders>
            <w:noWrap w:val="0"/>
            <w:vAlign w:val="center"/>
          </w:tcPr>
          <w:p>
            <w:pPr>
              <w:jc w:val="center"/>
              <w:rPr>
                <w:rFonts w:hint="eastAsia" w:ascii="仿宋_GB2312" w:hAnsi="宋体" w:eastAsia="仿宋_GB2312" w:cs="宋体"/>
                <w:b/>
                <w:bCs/>
                <w:color w:val="000000" w:themeColor="text1"/>
                <w:kern w:val="0"/>
                <w:sz w:val="21"/>
                <w:szCs w:val="21"/>
                <w:u w:val="none"/>
                <w14:textFill>
                  <w14:solidFill>
                    <w14:schemeClr w14:val="tx1"/>
                  </w14:solidFill>
                </w14:textFill>
              </w:rPr>
            </w:pPr>
            <w:r>
              <w:rPr>
                <w:rFonts w:hint="eastAsia" w:ascii="仿宋_GB2312" w:hAnsi="宋体" w:eastAsia="仿宋_GB2312" w:cs="宋体"/>
                <w:b/>
                <w:bCs/>
                <w:color w:val="000000" w:themeColor="text1"/>
                <w:kern w:val="0"/>
                <w:sz w:val="21"/>
                <w:szCs w:val="21"/>
                <w:u w:val="none"/>
                <w14:textFill>
                  <w14:solidFill>
                    <w14:schemeClr w14:val="tx1"/>
                  </w14:solidFill>
                </w14:textFill>
              </w:rPr>
              <w:t>指   标   名   称</w:t>
            </w:r>
          </w:p>
        </w:tc>
        <w:tc>
          <w:tcPr>
            <w:tcW w:w="1070" w:type="dxa"/>
            <w:tcBorders>
              <w:top w:val="single" w:color="auto" w:sz="4" w:space="0"/>
              <w:left w:val="nil"/>
              <w:bottom w:val="single" w:color="333333" w:sz="4" w:space="0"/>
              <w:right w:val="single" w:color="auto" w:sz="4" w:space="0"/>
            </w:tcBorders>
            <w:noWrap w:val="0"/>
            <w:vAlign w:val="center"/>
          </w:tcPr>
          <w:p>
            <w:pPr>
              <w:jc w:val="center"/>
              <w:rPr>
                <w:rFonts w:hint="eastAsia" w:ascii="仿宋_GB2312" w:hAnsi="宋体" w:eastAsia="仿宋_GB2312" w:cs="宋体"/>
                <w:b/>
                <w:bCs/>
                <w:color w:val="000000" w:themeColor="text1"/>
                <w:w w:val="80"/>
                <w:kern w:val="0"/>
                <w:sz w:val="21"/>
                <w:szCs w:val="21"/>
                <w:u w:val="none"/>
                <w14:textFill>
                  <w14:solidFill>
                    <w14:schemeClr w14:val="tx1"/>
                  </w14:solidFill>
                </w14:textFill>
              </w:rPr>
            </w:pPr>
            <w:r>
              <w:rPr>
                <w:rFonts w:hint="eastAsia" w:ascii="仿宋_GB2312" w:hAnsi="宋体" w:eastAsia="仿宋_GB2312" w:cs="宋体"/>
                <w:b/>
                <w:bCs/>
                <w:color w:val="000000" w:themeColor="text1"/>
                <w:w w:val="80"/>
                <w:kern w:val="0"/>
                <w:sz w:val="21"/>
                <w:szCs w:val="21"/>
                <w:u w:val="none"/>
                <w:lang w:val="en-US" w:eastAsia="zh-CN"/>
                <w14:textFill>
                  <w14:solidFill>
                    <w14:schemeClr w14:val="tx1"/>
                  </w14:solidFill>
                </w14:textFill>
              </w:rPr>
              <w:t>2020</w:t>
            </w:r>
            <w:r>
              <w:rPr>
                <w:rFonts w:hint="eastAsia" w:ascii="仿宋_GB2312" w:hAnsi="宋体" w:eastAsia="仿宋_GB2312" w:cs="宋体"/>
                <w:b/>
                <w:bCs/>
                <w:color w:val="000000" w:themeColor="text1"/>
                <w:w w:val="80"/>
                <w:kern w:val="0"/>
                <w:sz w:val="21"/>
                <w:szCs w:val="21"/>
                <w:u w:val="none"/>
                <w14:textFill>
                  <w14:solidFill>
                    <w14:schemeClr w14:val="tx1"/>
                  </w14:solidFill>
                </w14:textFill>
              </w:rPr>
              <w:t>年</w:t>
            </w:r>
          </w:p>
        </w:tc>
        <w:tc>
          <w:tcPr>
            <w:tcW w:w="1568" w:type="dxa"/>
            <w:tcBorders>
              <w:top w:val="single" w:color="auto" w:sz="4" w:space="0"/>
              <w:left w:val="single" w:color="auto" w:sz="4" w:space="0"/>
              <w:bottom w:val="single" w:color="333333" w:sz="4" w:space="0"/>
              <w:right w:val="single" w:color="333333" w:sz="4" w:space="0"/>
            </w:tcBorders>
            <w:noWrap w:val="0"/>
            <w:vAlign w:val="center"/>
          </w:tcPr>
          <w:p>
            <w:pPr>
              <w:jc w:val="center"/>
              <w:rPr>
                <w:rFonts w:hint="eastAsia" w:ascii="仿宋_GB2312" w:hAnsi="宋体" w:eastAsia="仿宋_GB2312" w:cs="宋体"/>
                <w:b/>
                <w:color w:val="000000" w:themeColor="text1"/>
                <w:kern w:val="0"/>
                <w:sz w:val="21"/>
                <w:szCs w:val="21"/>
                <w:u w:val="none"/>
                <w14:textFill>
                  <w14:solidFill>
                    <w14:schemeClr w14:val="tx1"/>
                  </w14:solidFill>
                </w14:textFill>
              </w:rPr>
            </w:pPr>
            <w:r>
              <w:rPr>
                <w:rFonts w:hint="eastAsia" w:ascii="仿宋_GB2312" w:hAnsi="宋体" w:eastAsia="仿宋_GB2312" w:cs="宋体"/>
                <w:b/>
                <w:bCs/>
                <w:color w:val="000000" w:themeColor="text1"/>
                <w:w w:val="80"/>
                <w:kern w:val="0"/>
                <w:sz w:val="21"/>
                <w:szCs w:val="21"/>
                <w:u w:val="none"/>
                <w:lang w:val="en-US" w:eastAsia="zh-CN"/>
                <w14:textFill>
                  <w14:solidFill>
                    <w14:schemeClr w14:val="tx1"/>
                  </w14:solidFill>
                </w14:textFill>
              </w:rPr>
              <w:t>2025</w:t>
            </w:r>
            <w:r>
              <w:rPr>
                <w:rFonts w:hint="eastAsia" w:ascii="仿宋_GB2312" w:hAnsi="宋体" w:eastAsia="仿宋_GB2312" w:cs="宋体"/>
                <w:b/>
                <w:bCs/>
                <w:color w:val="000000" w:themeColor="text1"/>
                <w:w w:val="80"/>
                <w:kern w:val="0"/>
                <w:sz w:val="21"/>
                <w:szCs w:val="21"/>
                <w:u w:val="none"/>
                <w14:textFill>
                  <w14:solidFill>
                    <w14:schemeClr w14:val="tx1"/>
                  </w14:solidFill>
                </w14:textFill>
              </w:rPr>
              <w:t>年</w:t>
            </w:r>
          </w:p>
        </w:tc>
      </w:tr>
      <w:tr>
        <w:tblPrEx>
          <w:tblCellMar>
            <w:top w:w="0" w:type="dxa"/>
            <w:left w:w="108" w:type="dxa"/>
            <w:bottom w:w="0" w:type="dxa"/>
            <w:right w:w="108" w:type="dxa"/>
          </w:tblCellMar>
        </w:tblPrEx>
        <w:trPr>
          <w:trHeight w:val="284" w:hRule="exact"/>
          <w:jc w:val="center"/>
        </w:trPr>
        <w:tc>
          <w:tcPr>
            <w:tcW w:w="469" w:type="dxa"/>
            <w:vMerge w:val="restart"/>
            <w:tcBorders>
              <w:top w:val="nil"/>
              <w:left w:val="single" w:color="333333" w:sz="4" w:space="0"/>
              <w:bottom w:val="single" w:color="333333" w:sz="4" w:space="0"/>
              <w:right w:val="single" w:color="333333" w:sz="4" w:space="0"/>
            </w:tcBorders>
            <w:noWrap w:val="0"/>
            <w:textDirection w:val="tbRlV"/>
            <w:vAlign w:val="center"/>
          </w:tcPr>
          <w:p>
            <w:pPr>
              <w:widowControl/>
              <w:jc w:val="center"/>
              <w:rPr>
                <w:rFonts w:hint="eastAsia" w:ascii="仿宋_GB2312" w:hAnsi="宋体" w:eastAsia="仿宋_GB2312" w:cs="宋体"/>
                <w:color w:val="000000" w:themeColor="text1"/>
                <w:kern w:val="0"/>
                <w:sz w:val="21"/>
                <w:szCs w:val="21"/>
                <w:u w:val="none"/>
                <w14:textFill>
                  <w14:solidFill>
                    <w14:schemeClr w14:val="tx1"/>
                  </w14:solidFill>
                </w14:textFill>
              </w:rPr>
            </w:pPr>
            <w:r>
              <w:rPr>
                <w:rFonts w:hint="eastAsia" w:ascii="仿宋_GB2312" w:hAnsi="宋体" w:eastAsia="仿宋_GB2312" w:cs="宋体"/>
                <w:b/>
                <w:bCs/>
                <w:color w:val="000000" w:themeColor="text1"/>
                <w:kern w:val="0"/>
                <w:sz w:val="21"/>
                <w:szCs w:val="21"/>
                <w:u w:val="none"/>
                <w14:textFill>
                  <w14:solidFill>
                    <w14:schemeClr w14:val="tx1"/>
                  </w14:solidFill>
                </w14:textFill>
              </w:rPr>
              <w:t>办学规模</w:t>
            </w:r>
          </w:p>
        </w:tc>
        <w:tc>
          <w:tcPr>
            <w:tcW w:w="3180" w:type="dxa"/>
            <w:gridSpan w:val="2"/>
            <w:vMerge w:val="restart"/>
            <w:tcBorders>
              <w:top w:val="nil"/>
              <w:left w:val="single" w:color="333333" w:sz="4" w:space="0"/>
              <w:bottom w:val="single" w:color="333333" w:sz="4" w:space="0"/>
              <w:right w:val="single" w:color="333333" w:sz="4" w:space="0"/>
            </w:tcBorders>
            <w:noWrap w:val="0"/>
            <w:vAlign w:val="center"/>
          </w:tcPr>
          <w:p>
            <w:pPr>
              <w:widowControl/>
              <w:spacing w:line="240" w:lineRule="exact"/>
              <w:rPr>
                <w:rFonts w:hint="eastAsia" w:ascii="仿宋_GB2312" w:hAnsi="宋体" w:eastAsia="仿宋_GB2312" w:cs="宋体"/>
                <w:color w:val="000000" w:themeColor="text1"/>
                <w:kern w:val="0"/>
                <w:sz w:val="21"/>
                <w:szCs w:val="21"/>
                <w:u w:val="none"/>
                <w14:textFill>
                  <w14:solidFill>
                    <w14:schemeClr w14:val="tx1"/>
                  </w14:solidFill>
                </w14:textFill>
              </w:rPr>
            </w:pPr>
            <w:r>
              <w:rPr>
                <w:rFonts w:hint="eastAsia" w:ascii="仿宋_GB2312" w:hAnsi="宋体" w:eastAsia="仿宋_GB2312" w:cs="宋体"/>
                <w:color w:val="000000" w:themeColor="text1"/>
                <w:kern w:val="0"/>
                <w:sz w:val="21"/>
                <w:szCs w:val="21"/>
                <w:u w:val="none"/>
                <w14:textFill>
                  <w14:solidFill>
                    <w14:schemeClr w14:val="tx1"/>
                  </w14:solidFill>
                </w14:textFill>
              </w:rPr>
              <w:t>全日制在校生（人）</w:t>
            </w:r>
          </w:p>
        </w:tc>
        <w:tc>
          <w:tcPr>
            <w:tcW w:w="3435" w:type="dxa"/>
            <w:tcBorders>
              <w:top w:val="nil"/>
              <w:left w:val="nil"/>
              <w:bottom w:val="single" w:color="333333" w:sz="4" w:space="0"/>
              <w:right w:val="single" w:color="333333" w:sz="4" w:space="0"/>
            </w:tcBorders>
            <w:noWrap w:val="0"/>
            <w:vAlign w:val="center"/>
          </w:tcPr>
          <w:p>
            <w:pPr>
              <w:widowControl/>
              <w:ind w:firstLine="422" w:firstLineChars="200"/>
              <w:rPr>
                <w:rFonts w:hint="eastAsia" w:ascii="仿宋_GB2312" w:hAnsi="宋体" w:eastAsia="仿宋_GB2312" w:cs="宋体"/>
                <w:b/>
                <w:bCs/>
                <w:color w:val="000000" w:themeColor="text1"/>
                <w:kern w:val="0"/>
                <w:sz w:val="21"/>
                <w:szCs w:val="21"/>
                <w:u w:val="none"/>
                <w14:textFill>
                  <w14:solidFill>
                    <w14:schemeClr w14:val="tx1"/>
                  </w14:solidFill>
                </w14:textFill>
              </w:rPr>
            </w:pPr>
            <w:r>
              <w:rPr>
                <w:rFonts w:hint="eastAsia" w:ascii="仿宋_GB2312" w:hAnsi="宋体" w:eastAsia="仿宋_GB2312" w:cs="宋体"/>
                <w:b/>
                <w:bCs/>
                <w:color w:val="000000" w:themeColor="text1"/>
                <w:kern w:val="0"/>
                <w:sz w:val="21"/>
                <w:szCs w:val="21"/>
                <w:u w:val="none"/>
                <w14:textFill>
                  <w14:solidFill>
                    <w14:schemeClr w14:val="tx1"/>
                  </w14:solidFill>
                </w14:textFill>
              </w:rPr>
              <w:t>总  计</w:t>
            </w:r>
          </w:p>
        </w:tc>
        <w:tc>
          <w:tcPr>
            <w:tcW w:w="1070" w:type="dxa"/>
            <w:tcBorders>
              <w:top w:val="nil"/>
              <w:left w:val="nil"/>
              <w:bottom w:val="single" w:color="333333" w:sz="4" w:space="0"/>
              <w:right w:val="single" w:color="333333" w:sz="4" w:space="0"/>
            </w:tcBorders>
            <w:noWrap w:val="0"/>
            <w:vAlign w:val="center"/>
          </w:tcPr>
          <w:p>
            <w:pPr>
              <w:widowControl/>
              <w:rPr>
                <w:rFonts w:hint="default" w:ascii="仿宋_GB2312" w:hAnsi="宋体" w:eastAsia="仿宋_GB2312" w:cs="宋体"/>
                <w:color w:val="000000" w:themeColor="text1"/>
                <w:kern w:val="0"/>
                <w:sz w:val="21"/>
                <w:szCs w:val="21"/>
                <w:u w:val="none"/>
                <w:lang w:val="en-US" w:eastAsia="zh-CN"/>
                <w14:textFill>
                  <w14:solidFill>
                    <w14:schemeClr w14:val="tx1"/>
                  </w14:solidFill>
                </w14:textFill>
              </w:rPr>
            </w:pPr>
            <w:r>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t>17336</w:t>
            </w:r>
          </w:p>
        </w:tc>
        <w:tc>
          <w:tcPr>
            <w:tcW w:w="1568" w:type="dxa"/>
            <w:tcBorders>
              <w:top w:val="nil"/>
              <w:left w:val="nil"/>
              <w:bottom w:val="single" w:color="333333" w:sz="4" w:space="0"/>
              <w:right w:val="single" w:color="333333" w:sz="4" w:space="0"/>
            </w:tcBorders>
            <w:noWrap w:val="0"/>
            <w:vAlign w:val="center"/>
          </w:tcPr>
          <w:p>
            <w:pPr>
              <w:widowControl/>
              <w:rPr>
                <w:rFonts w:hint="default" w:ascii="仿宋_GB2312" w:hAnsi="宋体" w:eastAsia="仿宋_GB2312" w:cs="宋体"/>
                <w:color w:val="000000" w:themeColor="text1"/>
                <w:kern w:val="0"/>
                <w:sz w:val="21"/>
                <w:szCs w:val="21"/>
                <w:u w:val="none"/>
                <w:lang w:val="en-US" w:eastAsia="zh-CN"/>
                <w14:textFill>
                  <w14:solidFill>
                    <w14:schemeClr w14:val="tx1"/>
                  </w14:solidFill>
                </w14:textFill>
              </w:rPr>
            </w:pPr>
            <w:r>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t>22000人以上</w:t>
            </w:r>
          </w:p>
        </w:tc>
      </w:tr>
      <w:tr>
        <w:tblPrEx>
          <w:tblCellMar>
            <w:top w:w="0" w:type="dxa"/>
            <w:left w:w="108" w:type="dxa"/>
            <w:bottom w:w="0" w:type="dxa"/>
            <w:right w:w="108" w:type="dxa"/>
          </w:tblCellMar>
        </w:tblPrEx>
        <w:trPr>
          <w:trHeight w:val="284" w:hRule="exact"/>
          <w:jc w:val="center"/>
        </w:trPr>
        <w:tc>
          <w:tcPr>
            <w:tcW w:w="469" w:type="dxa"/>
            <w:vMerge w:val="continue"/>
            <w:tcBorders>
              <w:top w:val="nil"/>
              <w:left w:val="single" w:color="333333" w:sz="4" w:space="0"/>
              <w:bottom w:val="single" w:color="333333" w:sz="4" w:space="0"/>
              <w:right w:val="single" w:color="333333" w:sz="4" w:space="0"/>
            </w:tcBorders>
            <w:noWrap w:val="0"/>
            <w:vAlign w:val="center"/>
          </w:tcPr>
          <w:p>
            <w:pPr>
              <w:widowControl/>
              <w:ind w:firstLine="420" w:firstLineChars="200"/>
              <w:rPr>
                <w:rFonts w:hint="eastAsia" w:ascii="仿宋_GB2312" w:hAnsi="宋体" w:eastAsia="仿宋_GB2312" w:cs="宋体"/>
                <w:color w:val="000000" w:themeColor="text1"/>
                <w:kern w:val="0"/>
                <w:sz w:val="21"/>
                <w:szCs w:val="21"/>
                <w:u w:val="none"/>
                <w14:textFill>
                  <w14:solidFill>
                    <w14:schemeClr w14:val="tx1"/>
                  </w14:solidFill>
                </w14:textFill>
              </w:rPr>
            </w:pPr>
          </w:p>
        </w:tc>
        <w:tc>
          <w:tcPr>
            <w:tcW w:w="3180" w:type="dxa"/>
            <w:gridSpan w:val="2"/>
            <w:vMerge w:val="continue"/>
            <w:tcBorders>
              <w:top w:val="nil"/>
              <w:left w:val="single" w:color="333333" w:sz="4" w:space="0"/>
              <w:bottom w:val="single" w:color="333333" w:sz="4" w:space="0"/>
              <w:right w:val="single" w:color="333333" w:sz="4" w:space="0"/>
            </w:tcBorders>
            <w:noWrap w:val="0"/>
            <w:vAlign w:val="center"/>
          </w:tcPr>
          <w:p>
            <w:pPr>
              <w:widowControl/>
              <w:ind w:firstLine="420" w:firstLineChars="200"/>
              <w:rPr>
                <w:rFonts w:hint="eastAsia" w:ascii="仿宋_GB2312" w:hAnsi="宋体" w:eastAsia="仿宋_GB2312" w:cs="宋体"/>
                <w:color w:val="000000" w:themeColor="text1"/>
                <w:kern w:val="0"/>
                <w:sz w:val="21"/>
                <w:szCs w:val="21"/>
                <w:u w:val="none"/>
                <w14:textFill>
                  <w14:solidFill>
                    <w14:schemeClr w14:val="tx1"/>
                  </w14:solidFill>
                </w14:textFill>
              </w:rPr>
            </w:pPr>
          </w:p>
        </w:tc>
        <w:tc>
          <w:tcPr>
            <w:tcW w:w="3435" w:type="dxa"/>
            <w:tcBorders>
              <w:top w:val="nil"/>
              <w:left w:val="nil"/>
              <w:bottom w:val="single" w:color="333333" w:sz="4" w:space="0"/>
              <w:right w:val="single" w:color="333333" w:sz="4" w:space="0"/>
            </w:tcBorders>
            <w:noWrap w:val="0"/>
            <w:vAlign w:val="center"/>
          </w:tcPr>
          <w:p>
            <w:pPr>
              <w:widowControl/>
              <w:rPr>
                <w:rFonts w:hint="eastAsia" w:ascii="仿宋_GB2312" w:hAnsi="宋体" w:eastAsia="仿宋_GB2312" w:cs="宋体"/>
                <w:color w:val="000000" w:themeColor="text1"/>
                <w:kern w:val="0"/>
                <w:sz w:val="21"/>
                <w:szCs w:val="21"/>
                <w:u w:val="none"/>
                <w14:textFill>
                  <w14:solidFill>
                    <w14:schemeClr w14:val="tx1"/>
                  </w14:solidFill>
                </w14:textFill>
              </w:rPr>
            </w:pPr>
            <w:r>
              <w:rPr>
                <w:rFonts w:hint="eastAsia" w:ascii="仿宋_GB2312" w:hAnsi="宋体" w:eastAsia="仿宋_GB2312" w:cs="宋体"/>
                <w:color w:val="000000" w:themeColor="text1"/>
                <w:kern w:val="0"/>
                <w:sz w:val="21"/>
                <w:szCs w:val="21"/>
                <w:u w:val="none"/>
                <w14:textFill>
                  <w14:solidFill>
                    <w14:schemeClr w14:val="tx1"/>
                  </w14:solidFill>
                </w14:textFill>
              </w:rPr>
              <w:t>本科</w:t>
            </w:r>
          </w:p>
        </w:tc>
        <w:tc>
          <w:tcPr>
            <w:tcW w:w="1070" w:type="dxa"/>
            <w:tcBorders>
              <w:top w:val="nil"/>
              <w:left w:val="nil"/>
              <w:bottom w:val="single" w:color="333333" w:sz="4" w:space="0"/>
              <w:right w:val="single" w:color="333333" w:sz="4" w:space="0"/>
            </w:tcBorders>
            <w:noWrap w:val="0"/>
            <w:vAlign w:val="center"/>
          </w:tcPr>
          <w:p>
            <w:pPr>
              <w:widowControl/>
              <w:rPr>
                <w:rFonts w:hint="default" w:ascii="仿宋_GB2312" w:hAnsi="宋体" w:eastAsia="仿宋_GB2312" w:cs="宋体"/>
                <w:color w:val="000000" w:themeColor="text1"/>
                <w:kern w:val="0"/>
                <w:sz w:val="21"/>
                <w:szCs w:val="21"/>
                <w:u w:val="none"/>
                <w:lang w:val="en-US" w:eastAsia="zh-CN"/>
                <w14:textFill>
                  <w14:solidFill>
                    <w14:schemeClr w14:val="tx1"/>
                  </w14:solidFill>
                </w14:textFill>
              </w:rPr>
            </w:pPr>
            <w:r>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t>14189</w:t>
            </w:r>
          </w:p>
        </w:tc>
        <w:tc>
          <w:tcPr>
            <w:tcW w:w="1568" w:type="dxa"/>
            <w:tcBorders>
              <w:top w:val="nil"/>
              <w:left w:val="nil"/>
              <w:bottom w:val="single" w:color="333333" w:sz="4" w:space="0"/>
              <w:right w:val="single" w:color="333333" w:sz="4" w:space="0"/>
            </w:tcBorders>
            <w:noWrap w:val="0"/>
            <w:vAlign w:val="center"/>
          </w:tcPr>
          <w:p>
            <w:pPr>
              <w:widowControl/>
              <w:rPr>
                <w:rFonts w:hint="default" w:ascii="仿宋_GB2312" w:hAnsi="宋体" w:eastAsia="仿宋_GB2312" w:cs="宋体"/>
                <w:color w:val="000000" w:themeColor="text1"/>
                <w:kern w:val="0"/>
                <w:sz w:val="21"/>
                <w:szCs w:val="21"/>
                <w:u w:val="none"/>
                <w:lang w:val="en-US" w:eastAsia="zh-CN"/>
                <w14:textFill>
                  <w14:solidFill>
                    <w14:schemeClr w14:val="tx1"/>
                  </w14:solidFill>
                </w14:textFill>
              </w:rPr>
            </w:pPr>
            <w:r>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t>18000人以上</w:t>
            </w:r>
          </w:p>
        </w:tc>
      </w:tr>
      <w:tr>
        <w:tblPrEx>
          <w:tblCellMar>
            <w:top w:w="0" w:type="dxa"/>
            <w:left w:w="108" w:type="dxa"/>
            <w:bottom w:w="0" w:type="dxa"/>
            <w:right w:w="108" w:type="dxa"/>
          </w:tblCellMar>
        </w:tblPrEx>
        <w:trPr>
          <w:trHeight w:val="284" w:hRule="exact"/>
          <w:jc w:val="center"/>
        </w:trPr>
        <w:tc>
          <w:tcPr>
            <w:tcW w:w="469" w:type="dxa"/>
            <w:vMerge w:val="continue"/>
            <w:tcBorders>
              <w:top w:val="nil"/>
              <w:left w:val="single" w:color="333333" w:sz="4" w:space="0"/>
              <w:bottom w:val="single" w:color="333333" w:sz="4" w:space="0"/>
              <w:right w:val="single" w:color="333333" w:sz="4" w:space="0"/>
            </w:tcBorders>
            <w:noWrap w:val="0"/>
            <w:vAlign w:val="center"/>
          </w:tcPr>
          <w:p>
            <w:pPr>
              <w:widowControl/>
              <w:ind w:firstLine="420" w:firstLineChars="200"/>
              <w:rPr>
                <w:rFonts w:hint="eastAsia" w:ascii="仿宋_GB2312" w:hAnsi="宋体" w:eastAsia="仿宋_GB2312" w:cs="宋体"/>
                <w:color w:val="000000" w:themeColor="text1"/>
                <w:kern w:val="0"/>
                <w:sz w:val="21"/>
                <w:szCs w:val="21"/>
                <w:u w:val="none"/>
                <w14:textFill>
                  <w14:solidFill>
                    <w14:schemeClr w14:val="tx1"/>
                  </w14:solidFill>
                </w14:textFill>
              </w:rPr>
            </w:pPr>
          </w:p>
        </w:tc>
        <w:tc>
          <w:tcPr>
            <w:tcW w:w="3180" w:type="dxa"/>
            <w:gridSpan w:val="2"/>
            <w:vMerge w:val="continue"/>
            <w:tcBorders>
              <w:top w:val="nil"/>
              <w:left w:val="single" w:color="333333" w:sz="4" w:space="0"/>
              <w:bottom w:val="single" w:color="333333" w:sz="4" w:space="0"/>
              <w:right w:val="single" w:color="333333" w:sz="4" w:space="0"/>
            </w:tcBorders>
            <w:noWrap w:val="0"/>
            <w:vAlign w:val="center"/>
          </w:tcPr>
          <w:p>
            <w:pPr>
              <w:widowControl/>
              <w:ind w:firstLine="420" w:firstLineChars="200"/>
              <w:rPr>
                <w:rFonts w:hint="eastAsia" w:ascii="仿宋_GB2312" w:hAnsi="宋体" w:eastAsia="仿宋_GB2312" w:cs="宋体"/>
                <w:color w:val="000000" w:themeColor="text1"/>
                <w:kern w:val="0"/>
                <w:sz w:val="21"/>
                <w:szCs w:val="21"/>
                <w:u w:val="none"/>
                <w14:textFill>
                  <w14:solidFill>
                    <w14:schemeClr w14:val="tx1"/>
                  </w14:solidFill>
                </w14:textFill>
              </w:rPr>
            </w:pPr>
          </w:p>
        </w:tc>
        <w:tc>
          <w:tcPr>
            <w:tcW w:w="3435" w:type="dxa"/>
            <w:tcBorders>
              <w:top w:val="nil"/>
              <w:left w:val="nil"/>
              <w:bottom w:val="single" w:color="333333" w:sz="4" w:space="0"/>
              <w:right w:val="single" w:color="333333" w:sz="4" w:space="0"/>
            </w:tcBorders>
            <w:noWrap w:val="0"/>
            <w:vAlign w:val="center"/>
          </w:tcPr>
          <w:p>
            <w:pPr>
              <w:widowControl/>
              <w:rPr>
                <w:rFonts w:hint="eastAsia" w:ascii="仿宋_GB2312" w:hAnsi="宋体" w:eastAsia="仿宋_GB2312" w:cs="宋体"/>
                <w:color w:val="000000" w:themeColor="text1"/>
                <w:kern w:val="0"/>
                <w:sz w:val="21"/>
                <w:szCs w:val="21"/>
                <w:u w:val="none"/>
                <w14:textFill>
                  <w14:solidFill>
                    <w14:schemeClr w14:val="tx1"/>
                  </w14:solidFill>
                </w14:textFill>
              </w:rPr>
            </w:pPr>
            <w:r>
              <w:rPr>
                <w:rFonts w:hint="eastAsia" w:ascii="仿宋_GB2312" w:hAnsi="宋体" w:eastAsia="仿宋_GB2312" w:cs="宋体"/>
                <w:color w:val="000000" w:themeColor="text1"/>
                <w:kern w:val="0"/>
                <w:sz w:val="21"/>
                <w:szCs w:val="21"/>
                <w:u w:val="none"/>
                <w14:textFill>
                  <w14:solidFill>
                    <w14:schemeClr w14:val="tx1"/>
                  </w14:solidFill>
                </w14:textFill>
              </w:rPr>
              <w:t>专科</w:t>
            </w:r>
          </w:p>
        </w:tc>
        <w:tc>
          <w:tcPr>
            <w:tcW w:w="1070" w:type="dxa"/>
            <w:tcBorders>
              <w:top w:val="nil"/>
              <w:left w:val="nil"/>
              <w:bottom w:val="single" w:color="333333" w:sz="4" w:space="0"/>
              <w:right w:val="single" w:color="333333" w:sz="4" w:space="0"/>
            </w:tcBorders>
            <w:noWrap w:val="0"/>
            <w:vAlign w:val="center"/>
          </w:tcPr>
          <w:p>
            <w:pPr>
              <w:widowControl/>
              <w:rPr>
                <w:rFonts w:hint="default" w:ascii="仿宋_GB2312" w:hAnsi="宋体" w:eastAsia="仿宋_GB2312" w:cs="宋体"/>
                <w:color w:val="000000" w:themeColor="text1"/>
                <w:kern w:val="0"/>
                <w:sz w:val="21"/>
                <w:szCs w:val="21"/>
                <w:u w:val="none"/>
                <w:lang w:val="en-US" w:eastAsia="zh-CN"/>
                <w14:textFill>
                  <w14:solidFill>
                    <w14:schemeClr w14:val="tx1"/>
                  </w14:solidFill>
                </w14:textFill>
              </w:rPr>
            </w:pPr>
            <w:r>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t>3147</w:t>
            </w:r>
          </w:p>
        </w:tc>
        <w:tc>
          <w:tcPr>
            <w:tcW w:w="1568" w:type="dxa"/>
            <w:tcBorders>
              <w:top w:val="nil"/>
              <w:left w:val="nil"/>
              <w:bottom w:val="single" w:color="333333" w:sz="4" w:space="0"/>
              <w:right w:val="single" w:color="333333" w:sz="4" w:space="0"/>
            </w:tcBorders>
            <w:noWrap w:val="0"/>
            <w:vAlign w:val="center"/>
          </w:tcPr>
          <w:p>
            <w:pPr>
              <w:widowControl/>
              <w:rPr>
                <w:rFonts w:hint="default" w:ascii="仿宋_GB2312" w:hAnsi="宋体" w:eastAsia="仿宋_GB2312" w:cs="宋体"/>
                <w:color w:val="000000" w:themeColor="text1"/>
                <w:kern w:val="0"/>
                <w:sz w:val="21"/>
                <w:szCs w:val="21"/>
                <w:u w:val="none"/>
                <w:lang w:val="en-US" w:eastAsia="zh-CN"/>
                <w14:textFill>
                  <w14:solidFill>
                    <w14:schemeClr w14:val="tx1"/>
                  </w14:solidFill>
                </w14:textFill>
              </w:rPr>
            </w:pPr>
            <w:r>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t>4000人左右</w:t>
            </w:r>
          </w:p>
        </w:tc>
      </w:tr>
      <w:tr>
        <w:tblPrEx>
          <w:tblCellMar>
            <w:top w:w="0" w:type="dxa"/>
            <w:left w:w="108" w:type="dxa"/>
            <w:bottom w:w="0" w:type="dxa"/>
            <w:right w:w="108" w:type="dxa"/>
          </w:tblCellMar>
        </w:tblPrEx>
        <w:trPr>
          <w:trHeight w:val="349" w:hRule="exact"/>
          <w:jc w:val="center"/>
        </w:trPr>
        <w:tc>
          <w:tcPr>
            <w:tcW w:w="469" w:type="dxa"/>
            <w:vMerge w:val="continue"/>
            <w:tcBorders>
              <w:top w:val="nil"/>
              <w:left w:val="single" w:color="333333" w:sz="4" w:space="0"/>
              <w:bottom w:val="single" w:color="333333" w:sz="4" w:space="0"/>
              <w:right w:val="single" w:color="333333" w:sz="4" w:space="0"/>
            </w:tcBorders>
            <w:noWrap w:val="0"/>
            <w:vAlign w:val="center"/>
          </w:tcPr>
          <w:p>
            <w:pPr>
              <w:widowControl/>
              <w:ind w:firstLine="420" w:firstLineChars="200"/>
              <w:rPr>
                <w:rFonts w:hint="eastAsia" w:ascii="仿宋_GB2312" w:hAnsi="宋体" w:eastAsia="仿宋_GB2312" w:cs="宋体"/>
                <w:color w:val="000000" w:themeColor="text1"/>
                <w:kern w:val="0"/>
                <w:sz w:val="21"/>
                <w:szCs w:val="21"/>
                <w:u w:val="none"/>
                <w14:textFill>
                  <w14:solidFill>
                    <w14:schemeClr w14:val="tx1"/>
                  </w14:solidFill>
                </w14:textFill>
              </w:rPr>
            </w:pPr>
          </w:p>
        </w:tc>
        <w:tc>
          <w:tcPr>
            <w:tcW w:w="6615" w:type="dxa"/>
            <w:gridSpan w:val="3"/>
            <w:tcBorders>
              <w:top w:val="single" w:color="auto" w:sz="4" w:space="0"/>
              <w:left w:val="single" w:color="333333" w:sz="4" w:space="0"/>
              <w:bottom w:val="single" w:color="auto" w:sz="4" w:space="0"/>
              <w:right w:val="single" w:color="333333" w:sz="4" w:space="0"/>
            </w:tcBorders>
            <w:noWrap w:val="0"/>
            <w:vAlign w:val="center"/>
          </w:tcPr>
          <w:p>
            <w:pPr>
              <w:widowControl/>
              <w:rPr>
                <w:rFonts w:hint="eastAsia" w:ascii="仿宋_GB2312" w:hAnsi="宋体" w:eastAsia="仿宋_GB2312" w:cs="宋体"/>
                <w:color w:val="000000" w:themeColor="text1"/>
                <w:kern w:val="0"/>
                <w:sz w:val="21"/>
                <w:szCs w:val="21"/>
                <w:u w:val="none"/>
                <w14:textFill>
                  <w14:solidFill>
                    <w14:schemeClr w14:val="tx1"/>
                  </w14:solidFill>
                </w14:textFill>
              </w:rPr>
            </w:pPr>
            <w:r>
              <w:rPr>
                <w:rFonts w:hint="eastAsia" w:ascii="仿宋_GB2312" w:hAnsi="宋体" w:eastAsia="仿宋_GB2312" w:cs="宋体"/>
                <w:color w:val="000000" w:themeColor="text1"/>
                <w:kern w:val="0"/>
                <w:sz w:val="21"/>
                <w:szCs w:val="21"/>
                <w:u w:val="none"/>
                <w14:textFill>
                  <w14:solidFill>
                    <w14:schemeClr w14:val="tx1"/>
                  </w14:solidFill>
                </w14:textFill>
              </w:rPr>
              <w:t>成人教育学生（人）</w:t>
            </w:r>
          </w:p>
        </w:tc>
        <w:tc>
          <w:tcPr>
            <w:tcW w:w="1070" w:type="dxa"/>
            <w:tcBorders>
              <w:top w:val="nil"/>
              <w:left w:val="nil"/>
              <w:bottom w:val="single" w:color="333333" w:sz="4" w:space="0"/>
              <w:right w:val="single" w:color="333333" w:sz="4" w:space="0"/>
            </w:tcBorders>
            <w:noWrap w:val="0"/>
            <w:vAlign w:val="center"/>
          </w:tcPr>
          <w:p>
            <w:pPr>
              <w:widowControl/>
              <w:rPr>
                <w:rFonts w:hint="default" w:ascii="仿宋_GB2312" w:hAnsi="宋体" w:eastAsia="仿宋_GB2312" w:cs="宋体"/>
                <w:color w:val="000000" w:themeColor="text1"/>
                <w:kern w:val="0"/>
                <w:sz w:val="21"/>
                <w:szCs w:val="21"/>
                <w:u w:val="none"/>
                <w:lang w:val="en-US" w:eastAsia="zh-CN"/>
                <w14:textFill>
                  <w14:solidFill>
                    <w14:schemeClr w14:val="tx1"/>
                  </w14:solidFill>
                </w14:textFill>
              </w:rPr>
            </w:pPr>
            <w:r>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t>1250</w:t>
            </w:r>
          </w:p>
        </w:tc>
        <w:tc>
          <w:tcPr>
            <w:tcW w:w="1568" w:type="dxa"/>
            <w:tcBorders>
              <w:top w:val="nil"/>
              <w:left w:val="nil"/>
              <w:bottom w:val="single" w:color="333333" w:sz="4" w:space="0"/>
              <w:right w:val="single" w:color="333333" w:sz="4" w:space="0"/>
            </w:tcBorders>
            <w:noWrap w:val="0"/>
            <w:vAlign w:val="center"/>
          </w:tcPr>
          <w:p>
            <w:pPr>
              <w:widowControl/>
              <w:rPr>
                <w:rFonts w:hint="default" w:ascii="仿宋_GB2312" w:hAnsi="宋体" w:eastAsia="仿宋_GB2312" w:cs="宋体"/>
                <w:color w:val="000000" w:themeColor="text1"/>
                <w:kern w:val="0"/>
                <w:sz w:val="21"/>
                <w:szCs w:val="21"/>
                <w:u w:val="none"/>
                <w:lang w:val="en-US" w:eastAsia="zh-CN"/>
                <w14:textFill>
                  <w14:solidFill>
                    <w14:schemeClr w14:val="tx1"/>
                  </w14:solidFill>
                </w14:textFill>
              </w:rPr>
            </w:pPr>
            <w:r>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t>4000人以上</w:t>
            </w:r>
          </w:p>
        </w:tc>
      </w:tr>
      <w:tr>
        <w:tblPrEx>
          <w:tblCellMar>
            <w:top w:w="0" w:type="dxa"/>
            <w:left w:w="108" w:type="dxa"/>
            <w:bottom w:w="0" w:type="dxa"/>
            <w:right w:w="108" w:type="dxa"/>
          </w:tblCellMar>
        </w:tblPrEx>
        <w:trPr>
          <w:trHeight w:val="284" w:hRule="exact"/>
          <w:jc w:val="center"/>
        </w:trPr>
        <w:tc>
          <w:tcPr>
            <w:tcW w:w="469" w:type="dxa"/>
            <w:vMerge w:val="restart"/>
            <w:tcBorders>
              <w:top w:val="nil"/>
              <w:left w:val="single" w:color="333333" w:sz="4" w:space="0"/>
              <w:right w:val="single" w:color="333333" w:sz="4" w:space="0"/>
            </w:tcBorders>
            <w:noWrap w:val="0"/>
            <w:textDirection w:val="tbRlV"/>
            <w:vAlign w:val="center"/>
          </w:tcPr>
          <w:p>
            <w:pPr>
              <w:widowControl/>
              <w:jc w:val="center"/>
              <w:rPr>
                <w:rFonts w:hint="eastAsia" w:ascii="仿宋_GB2312" w:hAnsi="宋体" w:eastAsia="仿宋_GB2312" w:cs="宋体"/>
                <w:color w:val="000000" w:themeColor="text1"/>
                <w:kern w:val="0"/>
                <w:sz w:val="21"/>
                <w:szCs w:val="21"/>
                <w:u w:val="none"/>
                <w14:textFill>
                  <w14:solidFill>
                    <w14:schemeClr w14:val="tx1"/>
                  </w14:solidFill>
                </w14:textFill>
              </w:rPr>
            </w:pPr>
            <w:r>
              <w:rPr>
                <w:rFonts w:hint="eastAsia" w:ascii="仿宋_GB2312" w:hAnsi="宋体" w:eastAsia="仿宋_GB2312" w:cs="宋体"/>
                <w:b/>
                <w:bCs/>
                <w:color w:val="000000" w:themeColor="text1"/>
                <w:kern w:val="0"/>
                <w:sz w:val="21"/>
                <w:szCs w:val="21"/>
                <w:u w:val="none"/>
                <w14:textFill>
                  <w14:solidFill>
                    <w14:schemeClr w14:val="tx1"/>
                  </w14:solidFill>
                </w14:textFill>
              </w:rPr>
              <w:t>教师队伍</w:t>
            </w:r>
          </w:p>
        </w:tc>
        <w:tc>
          <w:tcPr>
            <w:tcW w:w="3180" w:type="dxa"/>
            <w:gridSpan w:val="2"/>
            <w:vMerge w:val="restart"/>
            <w:tcBorders>
              <w:top w:val="nil"/>
              <w:left w:val="single" w:color="333333" w:sz="4" w:space="0"/>
              <w:bottom w:val="single" w:color="333333" w:sz="4" w:space="0"/>
              <w:right w:val="single" w:color="333333" w:sz="4" w:space="0"/>
            </w:tcBorders>
            <w:noWrap w:val="0"/>
            <w:vAlign w:val="center"/>
          </w:tcPr>
          <w:p>
            <w:pPr>
              <w:widowControl/>
              <w:rPr>
                <w:rFonts w:hint="eastAsia" w:ascii="仿宋_GB2312" w:hAnsi="宋体" w:eastAsia="仿宋_GB2312" w:cs="宋体"/>
                <w:color w:val="000000" w:themeColor="text1"/>
                <w:kern w:val="0"/>
                <w:sz w:val="21"/>
                <w:szCs w:val="21"/>
                <w:u w:val="none"/>
                <w14:textFill>
                  <w14:solidFill>
                    <w14:schemeClr w14:val="tx1"/>
                  </w14:solidFill>
                </w14:textFill>
              </w:rPr>
            </w:pPr>
            <w:r>
              <w:rPr>
                <w:rFonts w:hint="eastAsia" w:ascii="仿宋_GB2312" w:hAnsi="宋体" w:eastAsia="仿宋_GB2312" w:cs="宋体"/>
                <w:color w:val="000000" w:themeColor="text1"/>
                <w:kern w:val="0"/>
                <w:sz w:val="21"/>
                <w:szCs w:val="21"/>
                <w:u w:val="none"/>
                <w14:textFill>
                  <w14:solidFill>
                    <w14:schemeClr w14:val="tx1"/>
                  </w14:solidFill>
                </w14:textFill>
              </w:rPr>
              <w:t>教职工（人）</w:t>
            </w:r>
          </w:p>
        </w:tc>
        <w:tc>
          <w:tcPr>
            <w:tcW w:w="3435" w:type="dxa"/>
            <w:tcBorders>
              <w:top w:val="nil"/>
              <w:left w:val="nil"/>
              <w:bottom w:val="single" w:color="333333" w:sz="4" w:space="0"/>
              <w:right w:val="single" w:color="333333" w:sz="4" w:space="0"/>
            </w:tcBorders>
            <w:noWrap w:val="0"/>
            <w:vAlign w:val="center"/>
          </w:tcPr>
          <w:p>
            <w:pPr>
              <w:widowControl/>
              <w:ind w:firstLine="422" w:firstLineChars="200"/>
              <w:rPr>
                <w:rFonts w:hint="eastAsia" w:ascii="仿宋_GB2312" w:hAnsi="宋体" w:eastAsia="仿宋_GB2312" w:cs="宋体"/>
                <w:b/>
                <w:bCs/>
                <w:color w:val="000000" w:themeColor="text1"/>
                <w:kern w:val="0"/>
                <w:sz w:val="21"/>
                <w:szCs w:val="21"/>
                <w:u w:val="none"/>
                <w14:textFill>
                  <w14:solidFill>
                    <w14:schemeClr w14:val="tx1"/>
                  </w14:solidFill>
                </w14:textFill>
              </w:rPr>
            </w:pPr>
            <w:r>
              <w:rPr>
                <w:rFonts w:hint="eastAsia" w:ascii="仿宋_GB2312" w:hAnsi="宋体" w:eastAsia="仿宋_GB2312" w:cs="宋体"/>
                <w:b/>
                <w:bCs/>
                <w:color w:val="000000" w:themeColor="text1"/>
                <w:kern w:val="0"/>
                <w:sz w:val="21"/>
                <w:szCs w:val="21"/>
                <w:u w:val="none"/>
                <w14:textFill>
                  <w14:solidFill>
                    <w14:schemeClr w14:val="tx1"/>
                  </w14:solidFill>
                </w14:textFill>
              </w:rPr>
              <w:t>总  计</w:t>
            </w:r>
          </w:p>
        </w:tc>
        <w:tc>
          <w:tcPr>
            <w:tcW w:w="1070" w:type="dxa"/>
            <w:tcBorders>
              <w:top w:val="nil"/>
              <w:left w:val="nil"/>
              <w:bottom w:val="single" w:color="333333" w:sz="4" w:space="0"/>
              <w:right w:val="single" w:color="333333" w:sz="4" w:space="0"/>
            </w:tcBorders>
            <w:noWrap w:val="0"/>
            <w:vAlign w:val="center"/>
          </w:tcPr>
          <w:p>
            <w:pPr>
              <w:widowControl/>
              <w:rPr>
                <w:rFonts w:hint="default" w:ascii="仿宋_GB2312" w:hAnsi="宋体" w:eastAsia="仿宋_GB2312" w:cs="宋体"/>
                <w:color w:val="000000" w:themeColor="text1"/>
                <w:kern w:val="0"/>
                <w:sz w:val="21"/>
                <w:szCs w:val="21"/>
                <w:u w:val="none"/>
                <w:lang w:val="en-US" w:eastAsia="zh-CN"/>
                <w14:textFill>
                  <w14:solidFill>
                    <w14:schemeClr w14:val="tx1"/>
                  </w14:solidFill>
                </w14:textFill>
              </w:rPr>
            </w:pPr>
            <w:r>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t>1001</w:t>
            </w:r>
          </w:p>
        </w:tc>
        <w:tc>
          <w:tcPr>
            <w:tcW w:w="1568" w:type="dxa"/>
            <w:tcBorders>
              <w:top w:val="nil"/>
              <w:left w:val="nil"/>
              <w:bottom w:val="single" w:color="333333" w:sz="4" w:space="0"/>
              <w:right w:val="single" w:color="333333" w:sz="4" w:space="0"/>
            </w:tcBorders>
            <w:noWrap w:val="0"/>
            <w:vAlign w:val="center"/>
          </w:tcPr>
          <w:p>
            <w:pPr>
              <w:widowControl/>
              <w:rPr>
                <w:rFonts w:hint="default" w:ascii="仿宋_GB2312" w:hAnsi="宋体" w:eastAsia="仿宋_GB2312" w:cs="宋体"/>
                <w:color w:val="000000" w:themeColor="text1"/>
                <w:kern w:val="0"/>
                <w:sz w:val="21"/>
                <w:szCs w:val="21"/>
                <w:u w:val="none"/>
                <w:lang w:val="en-US" w:eastAsia="zh-CN"/>
                <w14:textFill>
                  <w14:solidFill>
                    <w14:schemeClr w14:val="tx1"/>
                  </w14:solidFill>
                </w14:textFill>
              </w:rPr>
            </w:pPr>
            <w:r>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t>1400</w:t>
            </w:r>
          </w:p>
        </w:tc>
      </w:tr>
      <w:tr>
        <w:tblPrEx>
          <w:tblCellMar>
            <w:top w:w="0" w:type="dxa"/>
            <w:left w:w="108" w:type="dxa"/>
            <w:bottom w:w="0" w:type="dxa"/>
            <w:right w:w="108" w:type="dxa"/>
          </w:tblCellMar>
        </w:tblPrEx>
        <w:trPr>
          <w:trHeight w:val="284" w:hRule="exact"/>
          <w:jc w:val="center"/>
        </w:trPr>
        <w:tc>
          <w:tcPr>
            <w:tcW w:w="469" w:type="dxa"/>
            <w:vMerge w:val="continue"/>
            <w:tcBorders>
              <w:left w:val="single" w:color="333333" w:sz="4" w:space="0"/>
              <w:right w:val="single" w:color="333333" w:sz="4" w:space="0"/>
            </w:tcBorders>
            <w:noWrap w:val="0"/>
            <w:vAlign w:val="center"/>
          </w:tcPr>
          <w:p>
            <w:pPr>
              <w:widowControl/>
              <w:ind w:firstLine="420" w:firstLineChars="200"/>
              <w:rPr>
                <w:rFonts w:hint="eastAsia" w:ascii="仿宋_GB2312" w:hAnsi="宋体" w:eastAsia="仿宋_GB2312" w:cs="宋体"/>
                <w:color w:val="000000" w:themeColor="text1"/>
                <w:kern w:val="0"/>
                <w:sz w:val="21"/>
                <w:szCs w:val="21"/>
                <w:u w:val="none"/>
                <w14:textFill>
                  <w14:solidFill>
                    <w14:schemeClr w14:val="tx1"/>
                  </w14:solidFill>
                </w14:textFill>
              </w:rPr>
            </w:pPr>
          </w:p>
        </w:tc>
        <w:tc>
          <w:tcPr>
            <w:tcW w:w="3180" w:type="dxa"/>
            <w:gridSpan w:val="2"/>
            <w:vMerge w:val="continue"/>
            <w:tcBorders>
              <w:top w:val="nil"/>
              <w:left w:val="single" w:color="333333" w:sz="4" w:space="0"/>
              <w:bottom w:val="single" w:color="333333" w:sz="4" w:space="0"/>
              <w:right w:val="single" w:color="333333" w:sz="4" w:space="0"/>
            </w:tcBorders>
            <w:noWrap w:val="0"/>
            <w:vAlign w:val="center"/>
          </w:tcPr>
          <w:p>
            <w:pPr>
              <w:widowControl/>
              <w:ind w:firstLine="420" w:firstLineChars="200"/>
              <w:rPr>
                <w:rFonts w:hint="eastAsia" w:ascii="仿宋_GB2312" w:hAnsi="宋体" w:eastAsia="仿宋_GB2312" w:cs="宋体"/>
                <w:color w:val="000000" w:themeColor="text1"/>
                <w:kern w:val="0"/>
                <w:sz w:val="21"/>
                <w:szCs w:val="21"/>
                <w:u w:val="none"/>
                <w14:textFill>
                  <w14:solidFill>
                    <w14:schemeClr w14:val="tx1"/>
                  </w14:solidFill>
                </w14:textFill>
              </w:rPr>
            </w:pPr>
          </w:p>
        </w:tc>
        <w:tc>
          <w:tcPr>
            <w:tcW w:w="3435" w:type="dxa"/>
            <w:tcBorders>
              <w:top w:val="nil"/>
              <w:left w:val="nil"/>
              <w:bottom w:val="single" w:color="333333" w:sz="4" w:space="0"/>
              <w:right w:val="single" w:color="333333" w:sz="4" w:space="0"/>
            </w:tcBorders>
            <w:noWrap w:val="0"/>
            <w:vAlign w:val="center"/>
          </w:tcPr>
          <w:p>
            <w:pPr>
              <w:widowControl/>
              <w:rPr>
                <w:rFonts w:hint="eastAsia" w:ascii="仿宋_GB2312" w:hAnsi="宋体" w:eastAsia="仿宋_GB2312" w:cs="宋体"/>
                <w:color w:val="000000" w:themeColor="text1"/>
                <w:kern w:val="0"/>
                <w:sz w:val="21"/>
                <w:szCs w:val="21"/>
                <w:u w:val="none"/>
                <w14:textFill>
                  <w14:solidFill>
                    <w14:schemeClr w14:val="tx1"/>
                  </w14:solidFill>
                </w14:textFill>
              </w:rPr>
            </w:pPr>
            <w:r>
              <w:rPr>
                <w:rFonts w:hint="eastAsia" w:ascii="仿宋_GB2312" w:hAnsi="宋体" w:eastAsia="仿宋_GB2312" w:cs="宋体"/>
                <w:color w:val="000000" w:themeColor="text1"/>
                <w:kern w:val="0"/>
                <w:sz w:val="21"/>
                <w:szCs w:val="21"/>
                <w:u w:val="none"/>
                <w14:textFill>
                  <w14:solidFill>
                    <w14:schemeClr w14:val="tx1"/>
                  </w14:solidFill>
                </w14:textFill>
              </w:rPr>
              <w:t>专任教师</w:t>
            </w:r>
          </w:p>
        </w:tc>
        <w:tc>
          <w:tcPr>
            <w:tcW w:w="1070" w:type="dxa"/>
            <w:tcBorders>
              <w:top w:val="nil"/>
              <w:left w:val="nil"/>
              <w:bottom w:val="single" w:color="333333" w:sz="4" w:space="0"/>
              <w:right w:val="single" w:color="333333" w:sz="4" w:space="0"/>
            </w:tcBorders>
            <w:noWrap w:val="0"/>
            <w:vAlign w:val="center"/>
          </w:tcPr>
          <w:p>
            <w:pPr>
              <w:widowControl/>
              <w:rPr>
                <w:rFonts w:hint="default" w:ascii="仿宋_GB2312" w:hAnsi="宋体" w:eastAsia="仿宋_GB2312" w:cs="宋体"/>
                <w:color w:val="000000" w:themeColor="text1"/>
                <w:kern w:val="0"/>
                <w:sz w:val="21"/>
                <w:szCs w:val="21"/>
                <w:u w:val="none"/>
                <w:lang w:val="en-US" w:eastAsia="zh-CN"/>
                <w14:textFill>
                  <w14:solidFill>
                    <w14:schemeClr w14:val="tx1"/>
                  </w14:solidFill>
                </w14:textFill>
              </w:rPr>
            </w:pPr>
            <w:r>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t>733</w:t>
            </w:r>
          </w:p>
        </w:tc>
        <w:tc>
          <w:tcPr>
            <w:tcW w:w="1568" w:type="dxa"/>
            <w:tcBorders>
              <w:top w:val="nil"/>
              <w:left w:val="nil"/>
              <w:bottom w:val="single" w:color="333333" w:sz="4" w:space="0"/>
              <w:right w:val="single" w:color="333333" w:sz="4" w:space="0"/>
            </w:tcBorders>
            <w:noWrap w:val="0"/>
            <w:vAlign w:val="center"/>
          </w:tcPr>
          <w:p>
            <w:pPr>
              <w:widowControl/>
              <w:rPr>
                <w:rFonts w:hint="default" w:ascii="仿宋_GB2312" w:hAnsi="宋体" w:eastAsia="仿宋_GB2312" w:cs="宋体"/>
                <w:color w:val="000000" w:themeColor="text1"/>
                <w:kern w:val="0"/>
                <w:sz w:val="21"/>
                <w:szCs w:val="21"/>
                <w:u w:val="none"/>
                <w:lang w:val="en-US" w:eastAsia="zh-CN"/>
                <w14:textFill>
                  <w14:solidFill>
                    <w14:schemeClr w14:val="tx1"/>
                  </w14:solidFill>
                </w14:textFill>
              </w:rPr>
            </w:pPr>
            <w:r>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t>1200人以上</w:t>
            </w:r>
          </w:p>
        </w:tc>
      </w:tr>
      <w:tr>
        <w:tblPrEx>
          <w:tblCellMar>
            <w:top w:w="0" w:type="dxa"/>
            <w:left w:w="108" w:type="dxa"/>
            <w:bottom w:w="0" w:type="dxa"/>
            <w:right w:w="108" w:type="dxa"/>
          </w:tblCellMar>
        </w:tblPrEx>
        <w:trPr>
          <w:trHeight w:val="284" w:hRule="exact"/>
          <w:jc w:val="center"/>
        </w:trPr>
        <w:tc>
          <w:tcPr>
            <w:tcW w:w="469" w:type="dxa"/>
            <w:vMerge w:val="continue"/>
            <w:tcBorders>
              <w:left w:val="single" w:color="333333" w:sz="4" w:space="0"/>
              <w:right w:val="single" w:color="333333" w:sz="4" w:space="0"/>
            </w:tcBorders>
            <w:noWrap w:val="0"/>
            <w:vAlign w:val="center"/>
          </w:tcPr>
          <w:p>
            <w:pPr>
              <w:widowControl/>
              <w:ind w:firstLine="420" w:firstLineChars="200"/>
              <w:rPr>
                <w:rFonts w:hint="eastAsia" w:ascii="仿宋_GB2312" w:hAnsi="宋体" w:eastAsia="仿宋_GB2312" w:cs="宋体"/>
                <w:color w:val="000000" w:themeColor="text1"/>
                <w:kern w:val="0"/>
                <w:sz w:val="21"/>
                <w:szCs w:val="21"/>
                <w:u w:val="none"/>
                <w14:textFill>
                  <w14:solidFill>
                    <w14:schemeClr w14:val="tx1"/>
                  </w14:solidFill>
                </w14:textFill>
              </w:rPr>
            </w:pPr>
          </w:p>
        </w:tc>
        <w:tc>
          <w:tcPr>
            <w:tcW w:w="3180" w:type="dxa"/>
            <w:gridSpan w:val="2"/>
            <w:vMerge w:val="restart"/>
            <w:tcBorders>
              <w:top w:val="nil"/>
              <w:left w:val="single" w:color="333333" w:sz="4" w:space="0"/>
              <w:bottom w:val="single" w:color="333333" w:sz="4" w:space="0"/>
              <w:right w:val="single" w:color="333333" w:sz="4" w:space="0"/>
            </w:tcBorders>
            <w:noWrap w:val="0"/>
            <w:vAlign w:val="center"/>
          </w:tcPr>
          <w:p>
            <w:pPr>
              <w:widowControl/>
              <w:spacing w:line="240" w:lineRule="exact"/>
              <w:rPr>
                <w:rFonts w:hint="eastAsia" w:ascii="仿宋_GB2312" w:hAnsi="宋体" w:eastAsia="仿宋_GB2312" w:cs="宋体"/>
                <w:color w:val="000000" w:themeColor="text1"/>
                <w:kern w:val="0"/>
                <w:sz w:val="21"/>
                <w:szCs w:val="21"/>
                <w:u w:val="none"/>
                <w14:textFill>
                  <w14:solidFill>
                    <w14:schemeClr w14:val="tx1"/>
                  </w14:solidFill>
                </w14:textFill>
              </w:rPr>
            </w:pPr>
            <w:r>
              <w:rPr>
                <w:rFonts w:hint="eastAsia" w:ascii="仿宋_GB2312" w:hAnsi="宋体" w:eastAsia="仿宋_GB2312" w:cs="宋体"/>
                <w:color w:val="000000" w:themeColor="text1"/>
                <w:kern w:val="0"/>
                <w:sz w:val="21"/>
                <w:szCs w:val="21"/>
                <w:u w:val="none"/>
                <w14:textFill>
                  <w14:solidFill>
                    <w14:schemeClr w14:val="tx1"/>
                  </w14:solidFill>
                </w14:textFill>
              </w:rPr>
              <w:t>高职称教师（人）</w:t>
            </w:r>
          </w:p>
        </w:tc>
        <w:tc>
          <w:tcPr>
            <w:tcW w:w="3435" w:type="dxa"/>
            <w:tcBorders>
              <w:top w:val="nil"/>
              <w:left w:val="nil"/>
              <w:bottom w:val="single" w:color="333333" w:sz="4" w:space="0"/>
              <w:right w:val="single" w:color="333333" w:sz="4" w:space="0"/>
            </w:tcBorders>
            <w:noWrap w:val="0"/>
            <w:vAlign w:val="center"/>
          </w:tcPr>
          <w:p>
            <w:pPr>
              <w:widowControl/>
              <w:rPr>
                <w:rFonts w:hint="eastAsia" w:ascii="仿宋_GB2312" w:hAnsi="宋体" w:eastAsia="仿宋_GB2312" w:cs="宋体"/>
                <w:color w:val="000000" w:themeColor="text1"/>
                <w:kern w:val="0"/>
                <w:sz w:val="21"/>
                <w:szCs w:val="21"/>
                <w:u w:val="none"/>
                <w14:textFill>
                  <w14:solidFill>
                    <w14:schemeClr w14:val="tx1"/>
                  </w14:solidFill>
                </w14:textFill>
              </w:rPr>
            </w:pPr>
            <w:r>
              <w:rPr>
                <w:rFonts w:hint="eastAsia" w:ascii="仿宋_GB2312" w:hAnsi="宋体" w:eastAsia="仿宋_GB2312" w:cs="宋体"/>
                <w:color w:val="000000" w:themeColor="text1"/>
                <w:kern w:val="0"/>
                <w:sz w:val="21"/>
                <w:szCs w:val="21"/>
                <w:u w:val="none"/>
                <w14:textFill>
                  <w14:solidFill>
                    <w14:schemeClr w14:val="tx1"/>
                  </w14:solidFill>
                </w14:textFill>
              </w:rPr>
              <w:t>教授</w:t>
            </w:r>
          </w:p>
        </w:tc>
        <w:tc>
          <w:tcPr>
            <w:tcW w:w="1070" w:type="dxa"/>
            <w:tcBorders>
              <w:top w:val="nil"/>
              <w:left w:val="nil"/>
              <w:bottom w:val="single" w:color="333333" w:sz="4" w:space="0"/>
              <w:right w:val="single" w:color="333333" w:sz="4" w:space="0"/>
            </w:tcBorders>
            <w:noWrap w:val="0"/>
            <w:vAlign w:val="center"/>
          </w:tcPr>
          <w:p>
            <w:pPr>
              <w:widowControl/>
              <w:rPr>
                <w:rFonts w:hint="default" w:ascii="仿宋_GB2312" w:hAnsi="宋体" w:eastAsia="仿宋_GB2312" w:cs="宋体"/>
                <w:color w:val="000000" w:themeColor="text1"/>
                <w:kern w:val="0"/>
                <w:sz w:val="21"/>
                <w:szCs w:val="21"/>
                <w:u w:val="none"/>
                <w:lang w:val="en-US" w:eastAsia="zh-CN"/>
                <w14:textFill>
                  <w14:solidFill>
                    <w14:schemeClr w14:val="tx1"/>
                  </w14:solidFill>
                </w14:textFill>
              </w:rPr>
            </w:pPr>
            <w:r>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t>30</w:t>
            </w:r>
          </w:p>
        </w:tc>
        <w:tc>
          <w:tcPr>
            <w:tcW w:w="1568" w:type="dxa"/>
            <w:tcBorders>
              <w:top w:val="nil"/>
              <w:left w:val="nil"/>
              <w:bottom w:val="single" w:color="333333" w:sz="4" w:space="0"/>
              <w:right w:val="single" w:color="333333" w:sz="4" w:space="0"/>
            </w:tcBorders>
            <w:noWrap w:val="0"/>
            <w:vAlign w:val="center"/>
          </w:tcPr>
          <w:p>
            <w:pPr>
              <w:widowControl/>
              <w:rPr>
                <w:rFonts w:hint="default" w:ascii="仿宋_GB2312" w:hAnsi="宋体" w:eastAsia="仿宋_GB2312" w:cs="宋体"/>
                <w:color w:val="000000" w:themeColor="text1"/>
                <w:kern w:val="0"/>
                <w:sz w:val="21"/>
                <w:szCs w:val="21"/>
                <w:u w:val="none"/>
                <w:lang w:val="en-US" w:eastAsia="zh-CN"/>
                <w14:textFill>
                  <w14:solidFill>
                    <w14:schemeClr w14:val="tx1"/>
                  </w14:solidFill>
                </w14:textFill>
              </w:rPr>
            </w:pPr>
            <w:r>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t>80</w:t>
            </w:r>
          </w:p>
        </w:tc>
      </w:tr>
      <w:tr>
        <w:tblPrEx>
          <w:tblCellMar>
            <w:top w:w="0" w:type="dxa"/>
            <w:left w:w="108" w:type="dxa"/>
            <w:bottom w:w="0" w:type="dxa"/>
            <w:right w:w="108" w:type="dxa"/>
          </w:tblCellMar>
        </w:tblPrEx>
        <w:trPr>
          <w:trHeight w:val="419" w:hRule="exact"/>
          <w:jc w:val="center"/>
        </w:trPr>
        <w:tc>
          <w:tcPr>
            <w:tcW w:w="469" w:type="dxa"/>
            <w:vMerge w:val="continue"/>
            <w:tcBorders>
              <w:left w:val="single" w:color="333333" w:sz="4" w:space="0"/>
              <w:right w:val="single" w:color="333333" w:sz="4" w:space="0"/>
            </w:tcBorders>
            <w:noWrap w:val="0"/>
            <w:vAlign w:val="center"/>
          </w:tcPr>
          <w:p>
            <w:pPr>
              <w:widowControl/>
              <w:ind w:firstLine="420" w:firstLineChars="200"/>
              <w:rPr>
                <w:rFonts w:hint="eastAsia" w:ascii="仿宋_GB2312" w:hAnsi="宋体" w:eastAsia="仿宋_GB2312" w:cs="宋体"/>
                <w:color w:val="000000" w:themeColor="text1"/>
                <w:kern w:val="0"/>
                <w:sz w:val="21"/>
                <w:szCs w:val="21"/>
                <w:u w:val="none"/>
                <w14:textFill>
                  <w14:solidFill>
                    <w14:schemeClr w14:val="tx1"/>
                  </w14:solidFill>
                </w14:textFill>
              </w:rPr>
            </w:pPr>
          </w:p>
        </w:tc>
        <w:tc>
          <w:tcPr>
            <w:tcW w:w="3180" w:type="dxa"/>
            <w:gridSpan w:val="2"/>
            <w:vMerge w:val="continue"/>
            <w:tcBorders>
              <w:top w:val="nil"/>
              <w:left w:val="single" w:color="333333" w:sz="4" w:space="0"/>
              <w:bottom w:val="single" w:color="333333" w:sz="4" w:space="0"/>
              <w:right w:val="single" w:color="333333" w:sz="4" w:space="0"/>
            </w:tcBorders>
            <w:noWrap w:val="0"/>
            <w:vAlign w:val="center"/>
          </w:tcPr>
          <w:p>
            <w:pPr>
              <w:widowControl/>
              <w:ind w:firstLine="420" w:firstLineChars="200"/>
              <w:rPr>
                <w:rFonts w:hint="eastAsia" w:ascii="仿宋_GB2312" w:hAnsi="宋体" w:eastAsia="仿宋_GB2312" w:cs="宋体"/>
                <w:color w:val="000000" w:themeColor="text1"/>
                <w:kern w:val="0"/>
                <w:sz w:val="21"/>
                <w:szCs w:val="21"/>
                <w:u w:val="none"/>
                <w14:textFill>
                  <w14:solidFill>
                    <w14:schemeClr w14:val="tx1"/>
                  </w14:solidFill>
                </w14:textFill>
              </w:rPr>
            </w:pPr>
          </w:p>
        </w:tc>
        <w:tc>
          <w:tcPr>
            <w:tcW w:w="3435" w:type="dxa"/>
            <w:tcBorders>
              <w:top w:val="nil"/>
              <w:left w:val="nil"/>
              <w:bottom w:val="single" w:color="333333" w:sz="4" w:space="0"/>
              <w:right w:val="single" w:color="333333" w:sz="4" w:space="0"/>
            </w:tcBorders>
            <w:noWrap w:val="0"/>
            <w:vAlign w:val="center"/>
          </w:tcPr>
          <w:p>
            <w:pPr>
              <w:widowControl/>
              <w:rPr>
                <w:rFonts w:hint="eastAsia" w:ascii="仿宋_GB2312" w:hAnsi="宋体" w:eastAsia="仿宋_GB2312" w:cs="宋体"/>
                <w:color w:val="000000" w:themeColor="text1"/>
                <w:kern w:val="0"/>
                <w:sz w:val="21"/>
                <w:szCs w:val="21"/>
                <w:u w:val="none"/>
                <w14:textFill>
                  <w14:solidFill>
                    <w14:schemeClr w14:val="tx1"/>
                  </w14:solidFill>
                </w14:textFill>
              </w:rPr>
            </w:pPr>
            <w:r>
              <w:rPr>
                <w:rFonts w:hint="eastAsia" w:ascii="仿宋_GB2312" w:hAnsi="宋体" w:eastAsia="仿宋_GB2312" w:cs="宋体"/>
                <w:color w:val="000000" w:themeColor="text1"/>
                <w:kern w:val="0"/>
                <w:sz w:val="21"/>
                <w:szCs w:val="21"/>
                <w:u w:val="none"/>
                <w14:textFill>
                  <w14:solidFill>
                    <w14:schemeClr w14:val="tx1"/>
                  </w14:solidFill>
                </w14:textFill>
              </w:rPr>
              <w:t>副教授</w:t>
            </w:r>
          </w:p>
        </w:tc>
        <w:tc>
          <w:tcPr>
            <w:tcW w:w="1070" w:type="dxa"/>
            <w:tcBorders>
              <w:top w:val="nil"/>
              <w:left w:val="nil"/>
              <w:bottom w:val="single" w:color="333333" w:sz="4" w:space="0"/>
              <w:right w:val="single" w:color="333333" w:sz="4" w:space="0"/>
            </w:tcBorders>
            <w:noWrap w:val="0"/>
            <w:vAlign w:val="center"/>
          </w:tcPr>
          <w:p>
            <w:pPr>
              <w:widowControl/>
              <w:rPr>
                <w:rFonts w:hint="default" w:ascii="仿宋_GB2312" w:hAnsi="宋体" w:eastAsia="仿宋_GB2312" w:cs="宋体"/>
                <w:color w:val="000000" w:themeColor="text1"/>
                <w:kern w:val="0"/>
                <w:sz w:val="21"/>
                <w:szCs w:val="21"/>
                <w:u w:val="none"/>
                <w:lang w:val="en-US" w:eastAsia="zh-CN"/>
                <w14:textFill>
                  <w14:solidFill>
                    <w14:schemeClr w14:val="tx1"/>
                  </w14:solidFill>
                </w14:textFill>
              </w:rPr>
            </w:pPr>
            <w:r>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t>171</w:t>
            </w:r>
          </w:p>
        </w:tc>
        <w:tc>
          <w:tcPr>
            <w:tcW w:w="1568" w:type="dxa"/>
            <w:tcBorders>
              <w:top w:val="nil"/>
              <w:left w:val="nil"/>
              <w:bottom w:val="single" w:color="333333" w:sz="4" w:space="0"/>
              <w:right w:val="single" w:color="333333" w:sz="4" w:space="0"/>
            </w:tcBorders>
            <w:noWrap w:val="0"/>
            <w:vAlign w:val="center"/>
          </w:tcPr>
          <w:p>
            <w:pPr>
              <w:widowControl/>
              <w:rPr>
                <w:rFonts w:hint="default" w:ascii="仿宋_GB2312" w:hAnsi="宋体" w:eastAsia="仿宋_GB2312" w:cs="宋体"/>
                <w:color w:val="000000" w:themeColor="text1"/>
                <w:kern w:val="0"/>
                <w:sz w:val="21"/>
                <w:szCs w:val="21"/>
                <w:u w:val="none"/>
                <w:lang w:val="en-US" w:eastAsia="zh-CN"/>
                <w14:textFill>
                  <w14:solidFill>
                    <w14:schemeClr w14:val="tx1"/>
                  </w14:solidFill>
                </w14:textFill>
              </w:rPr>
            </w:pPr>
            <w:r>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t>330</w:t>
            </w:r>
          </w:p>
        </w:tc>
      </w:tr>
      <w:tr>
        <w:tblPrEx>
          <w:tblCellMar>
            <w:top w:w="0" w:type="dxa"/>
            <w:left w:w="108" w:type="dxa"/>
            <w:bottom w:w="0" w:type="dxa"/>
            <w:right w:w="108" w:type="dxa"/>
          </w:tblCellMar>
        </w:tblPrEx>
        <w:trPr>
          <w:trHeight w:val="329" w:hRule="exact"/>
          <w:jc w:val="center"/>
        </w:trPr>
        <w:tc>
          <w:tcPr>
            <w:tcW w:w="469" w:type="dxa"/>
            <w:vMerge w:val="continue"/>
            <w:tcBorders>
              <w:left w:val="single" w:color="333333" w:sz="4" w:space="0"/>
              <w:right w:val="single" w:color="333333" w:sz="4" w:space="0"/>
            </w:tcBorders>
            <w:noWrap w:val="0"/>
            <w:vAlign w:val="center"/>
          </w:tcPr>
          <w:p>
            <w:pPr>
              <w:widowControl/>
              <w:ind w:firstLine="420" w:firstLineChars="200"/>
              <w:rPr>
                <w:rFonts w:hint="eastAsia" w:ascii="仿宋_GB2312" w:hAnsi="宋体" w:eastAsia="仿宋_GB2312" w:cs="宋体"/>
                <w:color w:val="000000" w:themeColor="text1"/>
                <w:kern w:val="0"/>
                <w:sz w:val="21"/>
                <w:szCs w:val="21"/>
                <w:u w:val="none"/>
                <w14:textFill>
                  <w14:solidFill>
                    <w14:schemeClr w14:val="tx1"/>
                  </w14:solidFill>
                </w14:textFill>
              </w:rPr>
            </w:pPr>
          </w:p>
        </w:tc>
        <w:tc>
          <w:tcPr>
            <w:tcW w:w="3180" w:type="dxa"/>
            <w:gridSpan w:val="2"/>
            <w:vMerge w:val="restart"/>
            <w:tcBorders>
              <w:top w:val="nil"/>
              <w:left w:val="single" w:color="333333" w:sz="4" w:space="0"/>
              <w:bottom w:val="single" w:color="333333" w:sz="4" w:space="0"/>
              <w:right w:val="single" w:color="333333" w:sz="4" w:space="0"/>
            </w:tcBorders>
            <w:noWrap w:val="0"/>
            <w:vAlign w:val="center"/>
          </w:tcPr>
          <w:p>
            <w:pPr>
              <w:widowControl/>
              <w:spacing w:line="240" w:lineRule="exact"/>
              <w:rPr>
                <w:rFonts w:hint="eastAsia" w:ascii="仿宋_GB2312" w:hAnsi="宋体" w:eastAsia="仿宋_GB2312" w:cs="宋体"/>
                <w:color w:val="000000" w:themeColor="text1"/>
                <w:kern w:val="0"/>
                <w:sz w:val="21"/>
                <w:szCs w:val="21"/>
                <w:u w:val="none"/>
                <w:lang w:eastAsia="zh-CN"/>
                <w14:textFill>
                  <w14:solidFill>
                    <w14:schemeClr w14:val="tx1"/>
                  </w14:solidFill>
                </w14:textFill>
              </w:rPr>
            </w:pPr>
            <w:r>
              <w:rPr>
                <w:rFonts w:hint="eastAsia" w:ascii="仿宋_GB2312" w:hAnsi="宋体" w:eastAsia="仿宋_GB2312" w:cs="宋体"/>
                <w:color w:val="000000" w:themeColor="text1"/>
                <w:kern w:val="0"/>
                <w:sz w:val="21"/>
                <w:szCs w:val="21"/>
                <w:u w:val="none"/>
                <w14:textFill>
                  <w14:solidFill>
                    <w14:schemeClr w14:val="tx1"/>
                  </w14:solidFill>
                </w14:textFill>
              </w:rPr>
              <w:t>高学历教师</w:t>
            </w:r>
            <w:r>
              <w:rPr>
                <w:rFonts w:hint="eastAsia" w:ascii="仿宋_GB2312" w:hAnsi="宋体" w:eastAsia="仿宋_GB2312" w:cs="宋体"/>
                <w:color w:val="000000" w:themeColor="text1"/>
                <w:kern w:val="0"/>
                <w:sz w:val="21"/>
                <w:szCs w:val="21"/>
                <w:u w:val="none"/>
                <w:lang w:eastAsia="zh-CN"/>
                <w14:textFill>
                  <w14:solidFill>
                    <w14:schemeClr w14:val="tx1"/>
                  </w14:solidFill>
                </w14:textFill>
              </w:rPr>
              <w:t>（人）</w:t>
            </w:r>
          </w:p>
        </w:tc>
        <w:tc>
          <w:tcPr>
            <w:tcW w:w="3435" w:type="dxa"/>
            <w:tcBorders>
              <w:top w:val="nil"/>
              <w:left w:val="nil"/>
              <w:bottom w:val="single" w:color="333333" w:sz="4" w:space="0"/>
              <w:right w:val="single" w:color="333333" w:sz="4" w:space="0"/>
            </w:tcBorders>
            <w:noWrap w:val="0"/>
            <w:vAlign w:val="center"/>
          </w:tcPr>
          <w:p>
            <w:pPr>
              <w:widowControl/>
              <w:rPr>
                <w:rFonts w:hint="eastAsia" w:ascii="仿宋_GB2312" w:hAnsi="宋体" w:eastAsia="仿宋_GB2312" w:cs="宋体"/>
                <w:color w:val="000000" w:themeColor="text1"/>
                <w:kern w:val="0"/>
                <w:sz w:val="21"/>
                <w:szCs w:val="21"/>
                <w:u w:val="none"/>
                <w14:textFill>
                  <w14:solidFill>
                    <w14:schemeClr w14:val="tx1"/>
                  </w14:solidFill>
                </w14:textFill>
              </w:rPr>
            </w:pPr>
            <w:r>
              <w:rPr>
                <w:rFonts w:hint="eastAsia" w:ascii="仿宋_GB2312" w:hAnsi="宋体" w:eastAsia="仿宋_GB2312" w:cs="宋体"/>
                <w:color w:val="000000" w:themeColor="text1"/>
                <w:kern w:val="0"/>
                <w:sz w:val="21"/>
                <w:szCs w:val="21"/>
                <w:u w:val="none"/>
                <w14:textFill>
                  <w14:solidFill>
                    <w14:schemeClr w14:val="tx1"/>
                  </w14:solidFill>
                </w14:textFill>
              </w:rPr>
              <w:t>博士</w:t>
            </w:r>
          </w:p>
        </w:tc>
        <w:tc>
          <w:tcPr>
            <w:tcW w:w="1070" w:type="dxa"/>
            <w:tcBorders>
              <w:top w:val="nil"/>
              <w:left w:val="nil"/>
              <w:bottom w:val="single" w:color="333333" w:sz="4" w:space="0"/>
              <w:right w:val="single" w:color="333333" w:sz="4" w:space="0"/>
            </w:tcBorders>
            <w:noWrap w:val="0"/>
            <w:vAlign w:val="center"/>
          </w:tcPr>
          <w:p>
            <w:pPr>
              <w:widowControl/>
              <w:rPr>
                <w:rFonts w:hint="default" w:ascii="仿宋_GB2312" w:hAnsi="宋体" w:eastAsia="仿宋_GB2312" w:cs="宋体"/>
                <w:color w:val="000000" w:themeColor="text1"/>
                <w:kern w:val="0"/>
                <w:sz w:val="21"/>
                <w:szCs w:val="21"/>
                <w:u w:val="none"/>
                <w:lang w:val="en-US" w:eastAsia="zh-CN"/>
                <w14:textFill>
                  <w14:solidFill>
                    <w14:schemeClr w14:val="tx1"/>
                  </w14:solidFill>
                </w14:textFill>
              </w:rPr>
            </w:pPr>
            <w:r>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t>64</w:t>
            </w:r>
          </w:p>
        </w:tc>
        <w:tc>
          <w:tcPr>
            <w:tcW w:w="1568" w:type="dxa"/>
            <w:tcBorders>
              <w:top w:val="nil"/>
              <w:left w:val="nil"/>
              <w:bottom w:val="single" w:color="333333" w:sz="4" w:space="0"/>
              <w:right w:val="single" w:color="333333" w:sz="4" w:space="0"/>
            </w:tcBorders>
            <w:noWrap w:val="0"/>
            <w:vAlign w:val="center"/>
          </w:tcPr>
          <w:p>
            <w:pPr>
              <w:widowControl/>
              <w:rPr>
                <w:rFonts w:hint="default" w:ascii="仿宋_GB2312" w:hAnsi="宋体" w:eastAsia="仿宋_GB2312" w:cs="宋体"/>
                <w:color w:val="000000" w:themeColor="text1"/>
                <w:kern w:val="0"/>
                <w:sz w:val="21"/>
                <w:szCs w:val="21"/>
                <w:u w:val="none"/>
                <w:lang w:val="en-US" w:eastAsia="zh-CN"/>
                <w14:textFill>
                  <w14:solidFill>
                    <w14:schemeClr w14:val="tx1"/>
                  </w14:solidFill>
                </w14:textFill>
              </w:rPr>
            </w:pPr>
            <w:r>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t>200人左右</w:t>
            </w:r>
          </w:p>
        </w:tc>
      </w:tr>
      <w:tr>
        <w:tblPrEx>
          <w:tblCellMar>
            <w:top w:w="0" w:type="dxa"/>
            <w:left w:w="108" w:type="dxa"/>
            <w:bottom w:w="0" w:type="dxa"/>
            <w:right w:w="108" w:type="dxa"/>
          </w:tblCellMar>
        </w:tblPrEx>
        <w:trPr>
          <w:trHeight w:val="284" w:hRule="exact"/>
          <w:jc w:val="center"/>
        </w:trPr>
        <w:tc>
          <w:tcPr>
            <w:tcW w:w="469" w:type="dxa"/>
            <w:vMerge w:val="continue"/>
            <w:tcBorders>
              <w:left w:val="single" w:color="333333" w:sz="4" w:space="0"/>
              <w:right w:val="single" w:color="333333" w:sz="4" w:space="0"/>
            </w:tcBorders>
            <w:noWrap w:val="0"/>
            <w:vAlign w:val="center"/>
          </w:tcPr>
          <w:p>
            <w:pPr>
              <w:widowControl/>
              <w:ind w:firstLine="420" w:firstLineChars="200"/>
              <w:rPr>
                <w:rFonts w:hint="eastAsia" w:ascii="仿宋_GB2312" w:hAnsi="宋体" w:eastAsia="仿宋_GB2312" w:cs="宋体"/>
                <w:color w:val="000000" w:themeColor="text1"/>
                <w:kern w:val="0"/>
                <w:sz w:val="21"/>
                <w:szCs w:val="21"/>
                <w:u w:val="none"/>
                <w14:textFill>
                  <w14:solidFill>
                    <w14:schemeClr w14:val="tx1"/>
                  </w14:solidFill>
                </w14:textFill>
              </w:rPr>
            </w:pPr>
          </w:p>
        </w:tc>
        <w:tc>
          <w:tcPr>
            <w:tcW w:w="3180" w:type="dxa"/>
            <w:gridSpan w:val="2"/>
            <w:vMerge w:val="continue"/>
            <w:tcBorders>
              <w:top w:val="nil"/>
              <w:left w:val="single" w:color="333333" w:sz="4" w:space="0"/>
              <w:bottom w:val="single" w:color="333333" w:sz="4" w:space="0"/>
              <w:right w:val="single" w:color="333333" w:sz="4" w:space="0"/>
            </w:tcBorders>
            <w:noWrap w:val="0"/>
            <w:vAlign w:val="center"/>
          </w:tcPr>
          <w:p>
            <w:pPr>
              <w:widowControl/>
              <w:ind w:firstLine="420" w:firstLineChars="200"/>
              <w:rPr>
                <w:rFonts w:hint="eastAsia" w:ascii="仿宋_GB2312" w:hAnsi="宋体" w:eastAsia="仿宋_GB2312" w:cs="宋体"/>
                <w:color w:val="000000" w:themeColor="text1"/>
                <w:kern w:val="0"/>
                <w:sz w:val="21"/>
                <w:szCs w:val="21"/>
                <w:u w:val="none"/>
                <w14:textFill>
                  <w14:solidFill>
                    <w14:schemeClr w14:val="tx1"/>
                  </w14:solidFill>
                </w14:textFill>
              </w:rPr>
            </w:pPr>
          </w:p>
        </w:tc>
        <w:tc>
          <w:tcPr>
            <w:tcW w:w="3435" w:type="dxa"/>
            <w:tcBorders>
              <w:top w:val="nil"/>
              <w:left w:val="nil"/>
              <w:bottom w:val="single" w:color="333333" w:sz="4" w:space="0"/>
              <w:right w:val="single" w:color="333333" w:sz="4" w:space="0"/>
            </w:tcBorders>
            <w:noWrap w:val="0"/>
            <w:vAlign w:val="center"/>
          </w:tcPr>
          <w:p>
            <w:pPr>
              <w:widowControl/>
              <w:rPr>
                <w:rFonts w:hint="eastAsia" w:ascii="仿宋_GB2312" w:hAnsi="宋体" w:eastAsia="仿宋_GB2312" w:cs="宋体"/>
                <w:color w:val="000000" w:themeColor="text1"/>
                <w:kern w:val="0"/>
                <w:sz w:val="21"/>
                <w:szCs w:val="21"/>
                <w:u w:val="none"/>
                <w14:textFill>
                  <w14:solidFill>
                    <w14:schemeClr w14:val="tx1"/>
                  </w14:solidFill>
                </w14:textFill>
              </w:rPr>
            </w:pPr>
            <w:r>
              <w:rPr>
                <w:rFonts w:hint="eastAsia" w:ascii="仿宋_GB2312" w:hAnsi="宋体" w:eastAsia="仿宋_GB2312" w:cs="宋体"/>
                <w:color w:val="000000" w:themeColor="text1"/>
                <w:kern w:val="0"/>
                <w:sz w:val="21"/>
                <w:szCs w:val="21"/>
                <w:u w:val="none"/>
                <w14:textFill>
                  <w14:solidFill>
                    <w14:schemeClr w14:val="tx1"/>
                  </w14:solidFill>
                </w14:textFill>
              </w:rPr>
              <w:t>硕士</w:t>
            </w:r>
          </w:p>
        </w:tc>
        <w:tc>
          <w:tcPr>
            <w:tcW w:w="1070" w:type="dxa"/>
            <w:tcBorders>
              <w:top w:val="nil"/>
              <w:left w:val="nil"/>
              <w:bottom w:val="single" w:color="333333" w:sz="4" w:space="0"/>
              <w:right w:val="single" w:color="333333" w:sz="4" w:space="0"/>
            </w:tcBorders>
            <w:noWrap w:val="0"/>
            <w:vAlign w:val="center"/>
          </w:tcPr>
          <w:p>
            <w:pPr>
              <w:widowControl/>
              <w:rPr>
                <w:rFonts w:hint="default" w:ascii="仿宋_GB2312" w:hAnsi="宋体" w:eastAsia="仿宋_GB2312" w:cs="宋体"/>
                <w:color w:val="000000" w:themeColor="text1"/>
                <w:kern w:val="0"/>
                <w:sz w:val="21"/>
                <w:szCs w:val="21"/>
                <w:u w:val="none"/>
                <w:lang w:val="en-US" w:eastAsia="zh-CN"/>
                <w14:textFill>
                  <w14:solidFill>
                    <w14:schemeClr w14:val="tx1"/>
                  </w14:solidFill>
                </w14:textFill>
              </w:rPr>
            </w:pPr>
            <w:r>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t>587</w:t>
            </w:r>
          </w:p>
        </w:tc>
        <w:tc>
          <w:tcPr>
            <w:tcW w:w="1568" w:type="dxa"/>
            <w:tcBorders>
              <w:top w:val="nil"/>
              <w:left w:val="nil"/>
              <w:bottom w:val="single" w:color="333333" w:sz="4" w:space="0"/>
              <w:right w:val="single" w:color="333333" w:sz="4" w:space="0"/>
            </w:tcBorders>
            <w:noWrap w:val="0"/>
            <w:vAlign w:val="center"/>
          </w:tcPr>
          <w:p>
            <w:pPr>
              <w:widowControl/>
              <w:rPr>
                <w:rFonts w:hint="default" w:ascii="仿宋_GB2312" w:hAnsi="宋体" w:eastAsia="仿宋_GB2312" w:cs="宋体"/>
                <w:color w:val="000000" w:themeColor="text1"/>
                <w:kern w:val="0"/>
                <w:sz w:val="21"/>
                <w:szCs w:val="21"/>
                <w:u w:val="none"/>
                <w:lang w:val="en-US" w:eastAsia="zh-CN"/>
                <w14:textFill>
                  <w14:solidFill>
                    <w14:schemeClr w14:val="tx1"/>
                  </w14:solidFill>
                </w14:textFill>
              </w:rPr>
            </w:pPr>
            <w:r>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t>1000人左右</w:t>
            </w:r>
          </w:p>
        </w:tc>
      </w:tr>
      <w:tr>
        <w:tblPrEx>
          <w:tblCellMar>
            <w:top w:w="0" w:type="dxa"/>
            <w:left w:w="108" w:type="dxa"/>
            <w:bottom w:w="0" w:type="dxa"/>
            <w:right w:w="108" w:type="dxa"/>
          </w:tblCellMar>
        </w:tblPrEx>
        <w:trPr>
          <w:trHeight w:val="284" w:hRule="exact"/>
          <w:jc w:val="center"/>
        </w:trPr>
        <w:tc>
          <w:tcPr>
            <w:tcW w:w="469" w:type="dxa"/>
            <w:vMerge w:val="continue"/>
            <w:tcBorders>
              <w:left w:val="single" w:color="333333" w:sz="4" w:space="0"/>
              <w:right w:val="single" w:color="333333" w:sz="4" w:space="0"/>
            </w:tcBorders>
            <w:noWrap w:val="0"/>
            <w:vAlign w:val="center"/>
          </w:tcPr>
          <w:p>
            <w:pPr>
              <w:widowControl/>
              <w:ind w:firstLine="420" w:firstLineChars="200"/>
              <w:rPr>
                <w:rFonts w:hint="eastAsia" w:ascii="仿宋_GB2312" w:hAnsi="宋体" w:eastAsia="仿宋_GB2312" w:cs="宋体"/>
                <w:color w:val="000000" w:themeColor="text1"/>
                <w:kern w:val="0"/>
                <w:sz w:val="21"/>
                <w:szCs w:val="21"/>
                <w:u w:val="none"/>
                <w14:textFill>
                  <w14:solidFill>
                    <w14:schemeClr w14:val="tx1"/>
                  </w14:solidFill>
                </w14:textFill>
              </w:rPr>
            </w:pPr>
          </w:p>
        </w:tc>
        <w:tc>
          <w:tcPr>
            <w:tcW w:w="6615" w:type="dxa"/>
            <w:gridSpan w:val="3"/>
            <w:tcBorders>
              <w:top w:val="nil"/>
              <w:left w:val="single" w:color="333333" w:sz="4" w:space="0"/>
              <w:bottom w:val="single" w:color="333333" w:sz="4" w:space="0"/>
              <w:right w:val="single" w:color="333333" w:sz="4" w:space="0"/>
            </w:tcBorders>
            <w:noWrap w:val="0"/>
            <w:vAlign w:val="center"/>
          </w:tcPr>
          <w:p>
            <w:pPr>
              <w:widowControl/>
              <w:rPr>
                <w:rFonts w:hint="eastAsia" w:ascii="仿宋_GB2312" w:hAnsi="宋体" w:eastAsia="仿宋_GB2312" w:cs="宋体"/>
                <w:color w:val="000000" w:themeColor="text1"/>
                <w:kern w:val="0"/>
                <w:sz w:val="21"/>
                <w:szCs w:val="21"/>
                <w:u w:val="none"/>
                <w14:textFill>
                  <w14:solidFill>
                    <w14:schemeClr w14:val="tx1"/>
                  </w14:solidFill>
                </w14:textFill>
              </w:rPr>
            </w:pPr>
            <w:r>
              <w:rPr>
                <w:rFonts w:hint="eastAsia" w:ascii="仿宋_GB2312" w:hAnsi="宋体" w:eastAsia="仿宋_GB2312" w:cs="宋体"/>
                <w:color w:val="000000" w:themeColor="text1"/>
                <w:kern w:val="0"/>
                <w:sz w:val="21"/>
                <w:szCs w:val="21"/>
                <w:u w:val="none"/>
                <w:lang w:eastAsia="zh-CN"/>
                <w14:textFill>
                  <w14:solidFill>
                    <w14:schemeClr w14:val="tx1"/>
                  </w14:solidFill>
                </w14:textFill>
              </w:rPr>
              <w:t>生师比（</w:t>
            </w:r>
            <w:r>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t>%</w:t>
            </w:r>
            <w:r>
              <w:rPr>
                <w:rFonts w:hint="eastAsia" w:ascii="仿宋_GB2312" w:hAnsi="宋体" w:eastAsia="仿宋_GB2312" w:cs="宋体"/>
                <w:color w:val="000000" w:themeColor="text1"/>
                <w:kern w:val="0"/>
                <w:sz w:val="21"/>
                <w:szCs w:val="21"/>
                <w:u w:val="none"/>
                <w:lang w:eastAsia="zh-CN"/>
                <w14:textFill>
                  <w14:solidFill>
                    <w14:schemeClr w14:val="tx1"/>
                  </w14:solidFill>
                </w14:textFill>
              </w:rPr>
              <w:t>）</w:t>
            </w:r>
          </w:p>
        </w:tc>
        <w:tc>
          <w:tcPr>
            <w:tcW w:w="1070" w:type="dxa"/>
            <w:tcBorders>
              <w:top w:val="nil"/>
              <w:left w:val="nil"/>
              <w:bottom w:val="single" w:color="333333" w:sz="4" w:space="0"/>
              <w:right w:val="single" w:color="333333" w:sz="4" w:space="0"/>
            </w:tcBorders>
            <w:noWrap w:val="0"/>
            <w:vAlign w:val="center"/>
          </w:tcPr>
          <w:p>
            <w:pPr>
              <w:widowControl/>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pPr>
            <w:r>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t>19.6：1</w:t>
            </w:r>
          </w:p>
        </w:tc>
        <w:tc>
          <w:tcPr>
            <w:tcW w:w="1568" w:type="dxa"/>
            <w:tcBorders>
              <w:top w:val="nil"/>
              <w:left w:val="nil"/>
              <w:bottom w:val="single" w:color="333333" w:sz="4" w:space="0"/>
              <w:right w:val="single" w:color="333333" w:sz="4" w:space="0"/>
            </w:tcBorders>
            <w:noWrap w:val="0"/>
            <w:vAlign w:val="center"/>
          </w:tcPr>
          <w:p>
            <w:pPr>
              <w:widowControl/>
              <w:rPr>
                <w:rFonts w:hint="eastAsia" w:ascii="仿宋_GB2312" w:hAnsi="宋体" w:eastAsia="仿宋_GB2312" w:cs="宋体"/>
                <w:color w:val="000000" w:themeColor="text1"/>
                <w:kern w:val="0"/>
                <w:sz w:val="21"/>
                <w:szCs w:val="21"/>
                <w:u w:val="none"/>
                <w:lang w:val="en-US" w:eastAsia="zh-CN" w:bidi="ar-SA"/>
                <w14:textFill>
                  <w14:solidFill>
                    <w14:schemeClr w14:val="tx1"/>
                  </w14:solidFill>
                </w14:textFill>
              </w:rPr>
            </w:pPr>
            <w:r>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t xml:space="preserve">18：1 </w:t>
            </w:r>
          </w:p>
        </w:tc>
      </w:tr>
      <w:tr>
        <w:tblPrEx>
          <w:tblCellMar>
            <w:top w:w="0" w:type="dxa"/>
            <w:left w:w="108" w:type="dxa"/>
            <w:bottom w:w="0" w:type="dxa"/>
            <w:right w:w="108" w:type="dxa"/>
          </w:tblCellMar>
        </w:tblPrEx>
        <w:trPr>
          <w:trHeight w:val="284" w:hRule="exact"/>
          <w:jc w:val="center"/>
        </w:trPr>
        <w:tc>
          <w:tcPr>
            <w:tcW w:w="469" w:type="dxa"/>
            <w:vMerge w:val="continue"/>
            <w:tcBorders>
              <w:left w:val="single" w:color="333333" w:sz="4" w:space="0"/>
              <w:right w:val="single" w:color="333333" w:sz="4" w:space="0"/>
            </w:tcBorders>
            <w:noWrap w:val="0"/>
            <w:vAlign w:val="center"/>
          </w:tcPr>
          <w:p>
            <w:pPr>
              <w:widowControl/>
              <w:ind w:firstLine="420" w:firstLineChars="200"/>
              <w:rPr>
                <w:rFonts w:hint="eastAsia" w:ascii="仿宋_GB2312" w:hAnsi="宋体" w:eastAsia="仿宋_GB2312" w:cs="宋体"/>
                <w:color w:val="000000" w:themeColor="text1"/>
                <w:kern w:val="0"/>
                <w:sz w:val="21"/>
                <w:szCs w:val="21"/>
                <w:u w:val="none"/>
                <w14:textFill>
                  <w14:solidFill>
                    <w14:schemeClr w14:val="tx1"/>
                  </w14:solidFill>
                </w14:textFill>
              </w:rPr>
            </w:pPr>
          </w:p>
        </w:tc>
        <w:tc>
          <w:tcPr>
            <w:tcW w:w="3180" w:type="dxa"/>
            <w:gridSpan w:val="2"/>
            <w:vMerge w:val="restart"/>
            <w:tcBorders>
              <w:top w:val="nil"/>
              <w:left w:val="single" w:color="333333" w:sz="4" w:space="0"/>
              <w:right w:val="single" w:color="333333" w:sz="4" w:space="0"/>
            </w:tcBorders>
            <w:noWrap w:val="0"/>
            <w:vAlign w:val="center"/>
          </w:tcPr>
          <w:p>
            <w:pPr>
              <w:widowControl/>
              <w:spacing w:line="240" w:lineRule="exact"/>
              <w:rPr>
                <w:rFonts w:hint="eastAsia" w:ascii="仿宋_GB2312" w:hAnsi="宋体" w:eastAsia="仿宋_GB2312" w:cs="宋体"/>
                <w:color w:val="000000" w:themeColor="text1"/>
                <w:kern w:val="0"/>
                <w:sz w:val="21"/>
                <w:szCs w:val="21"/>
                <w:u w:val="none"/>
                <w14:textFill>
                  <w14:solidFill>
                    <w14:schemeClr w14:val="tx1"/>
                  </w14:solidFill>
                </w14:textFill>
              </w:rPr>
            </w:pPr>
            <w:r>
              <w:rPr>
                <w:rFonts w:hint="eastAsia" w:ascii="仿宋_GB2312" w:hAnsi="宋体" w:eastAsia="仿宋_GB2312" w:cs="宋体"/>
                <w:color w:val="000000" w:themeColor="text1"/>
                <w:kern w:val="0"/>
                <w:sz w:val="21"/>
                <w:szCs w:val="21"/>
                <w:u w:val="none"/>
                <w14:textFill>
                  <w14:solidFill>
                    <w14:schemeClr w14:val="tx1"/>
                  </w14:solidFill>
                </w14:textFill>
              </w:rPr>
              <w:t>高水平人才（人）</w:t>
            </w:r>
          </w:p>
        </w:tc>
        <w:tc>
          <w:tcPr>
            <w:tcW w:w="3435" w:type="dxa"/>
            <w:tcBorders>
              <w:top w:val="nil"/>
              <w:left w:val="nil"/>
              <w:bottom w:val="single" w:color="333333" w:sz="4" w:space="0"/>
              <w:right w:val="single" w:color="333333" w:sz="4" w:space="0"/>
            </w:tcBorders>
            <w:noWrap w:val="0"/>
            <w:vAlign w:val="center"/>
          </w:tcPr>
          <w:p>
            <w:pPr>
              <w:widowControl/>
              <w:rPr>
                <w:rFonts w:hint="eastAsia" w:ascii="仿宋_GB2312" w:hAnsi="宋体" w:eastAsia="仿宋_GB2312" w:cs="宋体"/>
                <w:color w:val="000000" w:themeColor="text1"/>
                <w:kern w:val="0"/>
                <w:sz w:val="21"/>
                <w:szCs w:val="21"/>
                <w:u w:val="none"/>
                <w:lang w:eastAsia="zh-CN"/>
                <w14:textFill>
                  <w14:solidFill>
                    <w14:schemeClr w14:val="tx1"/>
                  </w14:solidFill>
                </w14:textFill>
              </w:rPr>
            </w:pPr>
            <w:r>
              <w:rPr>
                <w:rFonts w:hint="eastAsia" w:ascii="仿宋_GB2312" w:hAnsi="宋体" w:eastAsia="仿宋_GB2312" w:cs="宋体"/>
                <w:color w:val="000000" w:themeColor="text1"/>
                <w:kern w:val="0"/>
                <w:sz w:val="21"/>
                <w:szCs w:val="21"/>
                <w:u w:val="none"/>
                <w:lang w:eastAsia="zh-CN"/>
                <w14:textFill>
                  <w14:solidFill>
                    <w14:schemeClr w14:val="tx1"/>
                  </w14:solidFill>
                </w14:textFill>
              </w:rPr>
              <w:t>国家级教学名师</w:t>
            </w:r>
          </w:p>
        </w:tc>
        <w:tc>
          <w:tcPr>
            <w:tcW w:w="1070" w:type="dxa"/>
            <w:tcBorders>
              <w:top w:val="nil"/>
              <w:left w:val="nil"/>
              <w:bottom w:val="single" w:color="333333" w:sz="4" w:space="0"/>
              <w:right w:val="single" w:color="333333" w:sz="4" w:space="0"/>
            </w:tcBorders>
            <w:noWrap w:val="0"/>
            <w:vAlign w:val="center"/>
          </w:tcPr>
          <w:p>
            <w:pPr>
              <w:widowControl/>
              <w:rPr>
                <w:rFonts w:hint="default" w:ascii="仿宋_GB2312" w:hAnsi="宋体" w:eastAsia="仿宋_GB2312" w:cs="宋体"/>
                <w:color w:val="000000" w:themeColor="text1"/>
                <w:kern w:val="0"/>
                <w:sz w:val="21"/>
                <w:szCs w:val="21"/>
                <w:u w:val="none"/>
                <w:lang w:val="en-US" w:eastAsia="zh-CN"/>
                <w14:textFill>
                  <w14:solidFill>
                    <w14:schemeClr w14:val="tx1"/>
                  </w14:solidFill>
                </w14:textFill>
              </w:rPr>
            </w:pPr>
            <w:r>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t>1</w:t>
            </w:r>
          </w:p>
        </w:tc>
        <w:tc>
          <w:tcPr>
            <w:tcW w:w="1568" w:type="dxa"/>
            <w:tcBorders>
              <w:top w:val="nil"/>
              <w:left w:val="nil"/>
              <w:bottom w:val="single" w:color="333333" w:sz="4" w:space="0"/>
              <w:right w:val="single" w:color="333333" w:sz="4" w:space="0"/>
            </w:tcBorders>
            <w:noWrap w:val="0"/>
            <w:vAlign w:val="center"/>
          </w:tcPr>
          <w:p>
            <w:pPr>
              <w:widowControl/>
              <w:rPr>
                <w:rFonts w:hint="default" w:ascii="仿宋_GB2312" w:hAnsi="宋体" w:eastAsia="仿宋_GB2312" w:cs="宋体"/>
                <w:color w:val="000000" w:themeColor="text1"/>
                <w:kern w:val="0"/>
                <w:sz w:val="21"/>
                <w:szCs w:val="21"/>
                <w:u w:val="none"/>
                <w:lang w:val="en-US" w:eastAsia="zh-CN"/>
                <w14:textFill>
                  <w14:solidFill>
                    <w14:schemeClr w14:val="tx1"/>
                  </w14:solidFill>
                </w14:textFill>
              </w:rPr>
            </w:pPr>
            <w:r>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t>3</w:t>
            </w:r>
          </w:p>
        </w:tc>
      </w:tr>
      <w:tr>
        <w:tblPrEx>
          <w:tblCellMar>
            <w:top w:w="0" w:type="dxa"/>
            <w:left w:w="108" w:type="dxa"/>
            <w:bottom w:w="0" w:type="dxa"/>
            <w:right w:w="108" w:type="dxa"/>
          </w:tblCellMar>
        </w:tblPrEx>
        <w:trPr>
          <w:trHeight w:val="284" w:hRule="exact"/>
          <w:jc w:val="center"/>
        </w:trPr>
        <w:tc>
          <w:tcPr>
            <w:tcW w:w="469" w:type="dxa"/>
            <w:vMerge w:val="continue"/>
            <w:tcBorders>
              <w:left w:val="single" w:color="333333" w:sz="4" w:space="0"/>
              <w:right w:val="single" w:color="333333" w:sz="4" w:space="0"/>
            </w:tcBorders>
            <w:noWrap w:val="0"/>
            <w:vAlign w:val="center"/>
          </w:tcPr>
          <w:p>
            <w:pPr>
              <w:widowControl/>
              <w:ind w:firstLine="420" w:firstLineChars="200"/>
              <w:rPr>
                <w:rFonts w:hint="eastAsia" w:ascii="仿宋_GB2312" w:hAnsi="宋体" w:eastAsia="仿宋_GB2312" w:cs="宋体"/>
                <w:color w:val="000000" w:themeColor="text1"/>
                <w:kern w:val="0"/>
                <w:sz w:val="21"/>
                <w:szCs w:val="21"/>
                <w:u w:val="none"/>
                <w14:textFill>
                  <w14:solidFill>
                    <w14:schemeClr w14:val="tx1"/>
                  </w14:solidFill>
                </w14:textFill>
              </w:rPr>
            </w:pPr>
          </w:p>
        </w:tc>
        <w:tc>
          <w:tcPr>
            <w:tcW w:w="3180" w:type="dxa"/>
            <w:gridSpan w:val="2"/>
            <w:vMerge w:val="continue"/>
            <w:tcBorders>
              <w:left w:val="single" w:color="333333" w:sz="4" w:space="0"/>
              <w:right w:val="single" w:color="333333" w:sz="4" w:space="0"/>
            </w:tcBorders>
            <w:noWrap w:val="0"/>
            <w:vAlign w:val="center"/>
          </w:tcPr>
          <w:p>
            <w:pPr>
              <w:widowControl/>
              <w:spacing w:line="240" w:lineRule="exact"/>
              <w:rPr>
                <w:rFonts w:hint="eastAsia" w:ascii="仿宋_GB2312" w:hAnsi="宋体" w:eastAsia="仿宋_GB2312" w:cs="宋体"/>
                <w:color w:val="000000" w:themeColor="text1"/>
                <w:kern w:val="0"/>
                <w:sz w:val="21"/>
                <w:szCs w:val="21"/>
                <w:u w:val="none"/>
                <w14:textFill>
                  <w14:solidFill>
                    <w14:schemeClr w14:val="tx1"/>
                  </w14:solidFill>
                </w14:textFill>
              </w:rPr>
            </w:pPr>
          </w:p>
        </w:tc>
        <w:tc>
          <w:tcPr>
            <w:tcW w:w="3435" w:type="dxa"/>
            <w:tcBorders>
              <w:top w:val="nil"/>
              <w:left w:val="nil"/>
              <w:bottom w:val="single" w:color="333333" w:sz="4" w:space="0"/>
              <w:right w:val="single" w:color="333333" w:sz="4" w:space="0"/>
            </w:tcBorders>
            <w:noWrap w:val="0"/>
            <w:vAlign w:val="center"/>
          </w:tcPr>
          <w:p>
            <w:pPr>
              <w:widowControl/>
              <w:rPr>
                <w:rFonts w:hint="eastAsia" w:ascii="仿宋_GB2312" w:hAnsi="宋体" w:eastAsia="仿宋_GB2312" w:cs="宋体"/>
                <w:color w:val="000000" w:themeColor="text1"/>
                <w:kern w:val="0"/>
                <w:sz w:val="21"/>
                <w:szCs w:val="21"/>
                <w:u w:val="none"/>
                <w:lang w:eastAsia="zh-CN"/>
                <w14:textFill>
                  <w14:solidFill>
                    <w14:schemeClr w14:val="tx1"/>
                  </w14:solidFill>
                </w14:textFill>
              </w:rPr>
            </w:pPr>
            <w:r>
              <w:rPr>
                <w:rFonts w:hint="eastAsia" w:ascii="仿宋_GB2312" w:hAnsi="宋体" w:eastAsia="仿宋_GB2312" w:cs="宋体"/>
                <w:color w:val="000000" w:themeColor="text1"/>
                <w:kern w:val="0"/>
                <w:sz w:val="21"/>
                <w:szCs w:val="21"/>
                <w:u w:val="none"/>
                <w:lang w:eastAsia="zh-CN"/>
                <w14:textFill>
                  <w14:solidFill>
                    <w14:schemeClr w14:val="tx1"/>
                  </w14:solidFill>
                </w14:textFill>
              </w:rPr>
              <w:t>省级教学名师</w:t>
            </w:r>
          </w:p>
        </w:tc>
        <w:tc>
          <w:tcPr>
            <w:tcW w:w="1070" w:type="dxa"/>
            <w:tcBorders>
              <w:top w:val="nil"/>
              <w:left w:val="nil"/>
              <w:bottom w:val="single" w:color="333333" w:sz="4" w:space="0"/>
              <w:right w:val="single" w:color="333333" w:sz="4" w:space="0"/>
            </w:tcBorders>
            <w:noWrap w:val="0"/>
            <w:vAlign w:val="center"/>
          </w:tcPr>
          <w:p>
            <w:pPr>
              <w:widowControl/>
              <w:rPr>
                <w:rFonts w:hint="default" w:ascii="仿宋_GB2312" w:hAnsi="宋体" w:eastAsia="仿宋_GB2312" w:cs="宋体"/>
                <w:color w:val="000000" w:themeColor="text1"/>
                <w:kern w:val="0"/>
                <w:sz w:val="21"/>
                <w:szCs w:val="21"/>
                <w:u w:val="none"/>
                <w:lang w:val="en-US" w:eastAsia="zh-CN"/>
                <w14:textFill>
                  <w14:solidFill>
                    <w14:schemeClr w14:val="tx1"/>
                  </w14:solidFill>
                </w14:textFill>
              </w:rPr>
            </w:pPr>
            <w:r>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t>1</w:t>
            </w:r>
          </w:p>
        </w:tc>
        <w:tc>
          <w:tcPr>
            <w:tcW w:w="1568" w:type="dxa"/>
            <w:tcBorders>
              <w:top w:val="nil"/>
              <w:left w:val="nil"/>
              <w:bottom w:val="single" w:color="333333" w:sz="4" w:space="0"/>
              <w:right w:val="single" w:color="333333" w:sz="4" w:space="0"/>
            </w:tcBorders>
            <w:noWrap w:val="0"/>
            <w:vAlign w:val="center"/>
          </w:tcPr>
          <w:p>
            <w:pPr>
              <w:widowControl/>
              <w:rPr>
                <w:rFonts w:hint="default" w:ascii="仿宋_GB2312" w:hAnsi="宋体" w:eastAsia="仿宋_GB2312" w:cs="宋体"/>
                <w:color w:val="000000" w:themeColor="text1"/>
                <w:kern w:val="0"/>
                <w:sz w:val="21"/>
                <w:szCs w:val="21"/>
                <w:u w:val="none"/>
                <w:lang w:val="en-US" w:eastAsia="zh-CN"/>
                <w14:textFill>
                  <w14:solidFill>
                    <w14:schemeClr w14:val="tx1"/>
                  </w14:solidFill>
                </w14:textFill>
              </w:rPr>
            </w:pPr>
            <w:r>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t>3</w:t>
            </w:r>
          </w:p>
        </w:tc>
      </w:tr>
      <w:tr>
        <w:tblPrEx>
          <w:tblCellMar>
            <w:top w:w="0" w:type="dxa"/>
            <w:left w:w="108" w:type="dxa"/>
            <w:bottom w:w="0" w:type="dxa"/>
            <w:right w:w="108" w:type="dxa"/>
          </w:tblCellMar>
        </w:tblPrEx>
        <w:trPr>
          <w:trHeight w:val="284" w:hRule="exact"/>
          <w:jc w:val="center"/>
        </w:trPr>
        <w:tc>
          <w:tcPr>
            <w:tcW w:w="469" w:type="dxa"/>
            <w:vMerge w:val="continue"/>
            <w:tcBorders>
              <w:left w:val="single" w:color="333333" w:sz="4" w:space="0"/>
              <w:right w:val="single" w:color="333333" w:sz="4" w:space="0"/>
            </w:tcBorders>
            <w:noWrap w:val="0"/>
            <w:vAlign w:val="center"/>
          </w:tcPr>
          <w:p>
            <w:pPr>
              <w:widowControl/>
              <w:ind w:firstLine="420" w:firstLineChars="200"/>
              <w:rPr>
                <w:rFonts w:hint="eastAsia" w:ascii="仿宋_GB2312" w:hAnsi="宋体" w:eastAsia="仿宋_GB2312" w:cs="宋体"/>
                <w:color w:val="000000" w:themeColor="text1"/>
                <w:kern w:val="0"/>
                <w:sz w:val="21"/>
                <w:szCs w:val="21"/>
                <w:u w:val="none"/>
                <w14:textFill>
                  <w14:solidFill>
                    <w14:schemeClr w14:val="tx1"/>
                  </w14:solidFill>
                </w14:textFill>
              </w:rPr>
            </w:pPr>
          </w:p>
        </w:tc>
        <w:tc>
          <w:tcPr>
            <w:tcW w:w="3180" w:type="dxa"/>
            <w:gridSpan w:val="2"/>
            <w:vMerge w:val="continue"/>
            <w:tcBorders>
              <w:left w:val="single" w:color="333333" w:sz="4" w:space="0"/>
              <w:right w:val="single" w:color="333333" w:sz="4" w:space="0"/>
            </w:tcBorders>
            <w:noWrap w:val="0"/>
            <w:vAlign w:val="center"/>
          </w:tcPr>
          <w:p>
            <w:pPr>
              <w:widowControl/>
              <w:spacing w:line="240" w:lineRule="exact"/>
              <w:rPr>
                <w:rFonts w:hint="eastAsia" w:ascii="仿宋_GB2312" w:hAnsi="宋体" w:eastAsia="仿宋_GB2312" w:cs="宋体"/>
                <w:color w:val="000000" w:themeColor="text1"/>
                <w:kern w:val="0"/>
                <w:sz w:val="21"/>
                <w:szCs w:val="21"/>
                <w:u w:val="none"/>
                <w14:textFill>
                  <w14:solidFill>
                    <w14:schemeClr w14:val="tx1"/>
                  </w14:solidFill>
                </w14:textFill>
              </w:rPr>
            </w:pPr>
          </w:p>
        </w:tc>
        <w:tc>
          <w:tcPr>
            <w:tcW w:w="3435" w:type="dxa"/>
            <w:tcBorders>
              <w:top w:val="nil"/>
              <w:left w:val="nil"/>
              <w:bottom w:val="single" w:color="333333" w:sz="4" w:space="0"/>
              <w:right w:val="single" w:color="333333" w:sz="4" w:space="0"/>
            </w:tcBorders>
            <w:noWrap w:val="0"/>
            <w:vAlign w:val="center"/>
          </w:tcPr>
          <w:p>
            <w:pPr>
              <w:widowControl/>
              <w:rPr>
                <w:rFonts w:hint="eastAsia" w:ascii="仿宋_GB2312" w:hAnsi="宋体" w:eastAsia="仿宋_GB2312" w:cs="宋体"/>
                <w:color w:val="000000" w:themeColor="text1"/>
                <w:kern w:val="0"/>
                <w:sz w:val="21"/>
                <w:szCs w:val="21"/>
                <w:u w:val="none"/>
                <w:lang w:eastAsia="zh-CN"/>
                <w14:textFill>
                  <w14:solidFill>
                    <w14:schemeClr w14:val="tx1"/>
                  </w14:solidFill>
                </w14:textFill>
              </w:rPr>
            </w:pPr>
            <w:r>
              <w:rPr>
                <w:rFonts w:hint="eastAsia" w:ascii="仿宋_GB2312" w:hAnsi="宋体" w:eastAsia="仿宋_GB2312" w:cs="宋体"/>
                <w:color w:val="000000" w:themeColor="text1"/>
                <w:kern w:val="0"/>
                <w:sz w:val="21"/>
                <w:szCs w:val="21"/>
                <w:u w:val="none"/>
                <w:lang w:eastAsia="zh-CN"/>
                <w14:textFill>
                  <w14:solidFill>
                    <w14:schemeClr w14:val="tx1"/>
                  </w14:solidFill>
                </w14:textFill>
              </w:rPr>
              <w:t>省级学术技术带头人</w:t>
            </w:r>
          </w:p>
        </w:tc>
        <w:tc>
          <w:tcPr>
            <w:tcW w:w="1070" w:type="dxa"/>
            <w:tcBorders>
              <w:top w:val="nil"/>
              <w:left w:val="nil"/>
              <w:bottom w:val="single" w:color="333333" w:sz="4" w:space="0"/>
              <w:right w:val="single" w:color="333333" w:sz="4" w:space="0"/>
            </w:tcBorders>
            <w:noWrap w:val="0"/>
            <w:vAlign w:val="center"/>
          </w:tcPr>
          <w:p>
            <w:pPr>
              <w:widowControl/>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pPr>
            <w:r>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t>1</w:t>
            </w:r>
          </w:p>
        </w:tc>
        <w:tc>
          <w:tcPr>
            <w:tcW w:w="1568" w:type="dxa"/>
            <w:tcBorders>
              <w:top w:val="nil"/>
              <w:left w:val="nil"/>
              <w:bottom w:val="single" w:color="333333" w:sz="4" w:space="0"/>
              <w:right w:val="single" w:color="333333" w:sz="4" w:space="0"/>
            </w:tcBorders>
            <w:noWrap w:val="0"/>
            <w:vAlign w:val="center"/>
          </w:tcPr>
          <w:p>
            <w:pPr>
              <w:widowControl/>
              <w:rPr>
                <w:rFonts w:hint="default" w:ascii="仿宋_GB2312" w:hAnsi="宋体" w:eastAsia="仿宋_GB2312" w:cs="宋体"/>
                <w:color w:val="000000" w:themeColor="text1"/>
                <w:kern w:val="0"/>
                <w:sz w:val="21"/>
                <w:szCs w:val="21"/>
                <w:u w:val="none"/>
                <w:lang w:val="en-US" w:eastAsia="zh-CN"/>
                <w14:textFill>
                  <w14:solidFill>
                    <w14:schemeClr w14:val="tx1"/>
                  </w14:solidFill>
                </w14:textFill>
              </w:rPr>
            </w:pPr>
            <w:r>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t>10</w:t>
            </w:r>
          </w:p>
        </w:tc>
      </w:tr>
      <w:tr>
        <w:tblPrEx>
          <w:tblCellMar>
            <w:top w:w="0" w:type="dxa"/>
            <w:left w:w="108" w:type="dxa"/>
            <w:bottom w:w="0" w:type="dxa"/>
            <w:right w:w="108" w:type="dxa"/>
          </w:tblCellMar>
        </w:tblPrEx>
        <w:trPr>
          <w:trHeight w:val="299" w:hRule="exact"/>
          <w:jc w:val="center"/>
        </w:trPr>
        <w:tc>
          <w:tcPr>
            <w:tcW w:w="469" w:type="dxa"/>
            <w:vMerge w:val="continue"/>
            <w:tcBorders>
              <w:left w:val="single" w:color="333333" w:sz="4" w:space="0"/>
              <w:right w:val="single" w:color="333333" w:sz="4" w:space="0"/>
            </w:tcBorders>
            <w:noWrap w:val="0"/>
            <w:vAlign w:val="center"/>
          </w:tcPr>
          <w:p>
            <w:pPr>
              <w:widowControl/>
              <w:ind w:firstLine="420" w:firstLineChars="200"/>
              <w:rPr>
                <w:rFonts w:hint="eastAsia" w:ascii="仿宋_GB2312" w:hAnsi="宋体" w:eastAsia="仿宋_GB2312" w:cs="宋体"/>
                <w:color w:val="000000" w:themeColor="text1"/>
                <w:kern w:val="0"/>
                <w:sz w:val="21"/>
                <w:szCs w:val="21"/>
                <w:u w:val="none"/>
                <w14:textFill>
                  <w14:solidFill>
                    <w14:schemeClr w14:val="tx1"/>
                  </w14:solidFill>
                </w14:textFill>
              </w:rPr>
            </w:pPr>
          </w:p>
        </w:tc>
        <w:tc>
          <w:tcPr>
            <w:tcW w:w="3180" w:type="dxa"/>
            <w:gridSpan w:val="2"/>
            <w:vMerge w:val="continue"/>
            <w:tcBorders>
              <w:left w:val="single" w:color="333333" w:sz="4" w:space="0"/>
              <w:right w:val="single" w:color="333333" w:sz="4" w:space="0"/>
            </w:tcBorders>
            <w:noWrap w:val="0"/>
            <w:vAlign w:val="center"/>
          </w:tcPr>
          <w:p>
            <w:pPr>
              <w:widowControl/>
              <w:ind w:firstLine="420" w:firstLineChars="200"/>
              <w:rPr>
                <w:rFonts w:hint="eastAsia" w:ascii="仿宋_GB2312" w:hAnsi="宋体" w:eastAsia="仿宋_GB2312" w:cs="宋体"/>
                <w:color w:val="000000" w:themeColor="text1"/>
                <w:kern w:val="0"/>
                <w:sz w:val="21"/>
                <w:szCs w:val="21"/>
                <w:u w:val="none"/>
                <w14:textFill>
                  <w14:solidFill>
                    <w14:schemeClr w14:val="tx1"/>
                  </w14:solidFill>
                </w14:textFill>
              </w:rPr>
            </w:pPr>
          </w:p>
        </w:tc>
        <w:tc>
          <w:tcPr>
            <w:tcW w:w="3435" w:type="dxa"/>
            <w:tcBorders>
              <w:top w:val="nil"/>
              <w:left w:val="nil"/>
              <w:bottom w:val="single" w:color="333333" w:sz="4" w:space="0"/>
              <w:right w:val="single" w:color="333333" w:sz="4" w:space="0"/>
            </w:tcBorders>
            <w:noWrap w:val="0"/>
            <w:vAlign w:val="center"/>
          </w:tcPr>
          <w:p>
            <w:pPr>
              <w:widowControl/>
              <w:rPr>
                <w:rFonts w:hint="eastAsia" w:ascii="仿宋_GB2312" w:hAnsi="宋体" w:eastAsia="仿宋_GB2312" w:cs="宋体"/>
                <w:color w:val="000000" w:themeColor="text1"/>
                <w:kern w:val="0"/>
                <w:sz w:val="21"/>
                <w:szCs w:val="21"/>
                <w:u w:val="none"/>
                <w:lang w:eastAsia="zh-CN"/>
                <w14:textFill>
                  <w14:solidFill>
                    <w14:schemeClr w14:val="tx1"/>
                  </w14:solidFill>
                </w14:textFill>
              </w:rPr>
            </w:pPr>
            <w:r>
              <w:rPr>
                <w:rFonts w:hint="eastAsia" w:ascii="仿宋_GB2312" w:hAnsi="宋体" w:eastAsia="仿宋_GB2312" w:cs="宋体"/>
                <w:color w:val="000000" w:themeColor="text1"/>
                <w:kern w:val="0"/>
                <w:sz w:val="21"/>
                <w:szCs w:val="21"/>
                <w:u w:val="none"/>
                <w:lang w:eastAsia="zh-CN"/>
                <w14:textFill>
                  <w14:solidFill>
                    <w14:schemeClr w14:val="tx1"/>
                  </w14:solidFill>
                </w14:textFill>
              </w:rPr>
              <w:t>省级青年骨干教师</w:t>
            </w:r>
          </w:p>
        </w:tc>
        <w:tc>
          <w:tcPr>
            <w:tcW w:w="1070" w:type="dxa"/>
            <w:tcBorders>
              <w:top w:val="nil"/>
              <w:left w:val="nil"/>
              <w:bottom w:val="single" w:color="333333" w:sz="4" w:space="0"/>
              <w:right w:val="single" w:color="333333" w:sz="4" w:space="0"/>
            </w:tcBorders>
            <w:noWrap w:val="0"/>
            <w:vAlign w:val="center"/>
          </w:tcPr>
          <w:p>
            <w:pPr>
              <w:widowControl/>
              <w:rPr>
                <w:rFonts w:hint="default" w:ascii="仿宋_GB2312" w:hAnsi="宋体" w:eastAsia="仿宋_GB2312" w:cs="宋体"/>
                <w:color w:val="000000" w:themeColor="text1"/>
                <w:kern w:val="0"/>
                <w:sz w:val="21"/>
                <w:szCs w:val="21"/>
                <w:u w:val="none"/>
                <w:lang w:val="en-US" w:eastAsia="zh-CN"/>
                <w14:textFill>
                  <w14:solidFill>
                    <w14:schemeClr w14:val="tx1"/>
                  </w14:solidFill>
                </w14:textFill>
              </w:rPr>
            </w:pPr>
            <w:r>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t>11</w:t>
            </w:r>
          </w:p>
        </w:tc>
        <w:tc>
          <w:tcPr>
            <w:tcW w:w="1568" w:type="dxa"/>
            <w:tcBorders>
              <w:top w:val="nil"/>
              <w:left w:val="nil"/>
              <w:bottom w:val="single" w:color="333333" w:sz="4" w:space="0"/>
              <w:right w:val="single" w:color="333333" w:sz="4" w:space="0"/>
            </w:tcBorders>
            <w:noWrap w:val="0"/>
            <w:vAlign w:val="center"/>
          </w:tcPr>
          <w:p>
            <w:pPr>
              <w:widowControl/>
              <w:rPr>
                <w:rFonts w:hint="default" w:ascii="仿宋_GB2312" w:hAnsi="宋体" w:eastAsia="仿宋_GB2312" w:cs="宋体"/>
                <w:color w:val="000000" w:themeColor="text1"/>
                <w:kern w:val="0"/>
                <w:sz w:val="21"/>
                <w:szCs w:val="21"/>
                <w:u w:val="none"/>
                <w:lang w:val="en-US" w:eastAsia="zh-CN"/>
                <w14:textFill>
                  <w14:solidFill>
                    <w14:schemeClr w14:val="tx1"/>
                  </w14:solidFill>
                </w14:textFill>
              </w:rPr>
            </w:pPr>
            <w:r>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t>31</w:t>
            </w:r>
          </w:p>
        </w:tc>
      </w:tr>
      <w:tr>
        <w:tblPrEx>
          <w:tblCellMar>
            <w:top w:w="0" w:type="dxa"/>
            <w:left w:w="108" w:type="dxa"/>
            <w:bottom w:w="0" w:type="dxa"/>
            <w:right w:w="108" w:type="dxa"/>
          </w:tblCellMar>
        </w:tblPrEx>
        <w:trPr>
          <w:trHeight w:val="284" w:hRule="exact"/>
          <w:jc w:val="center"/>
        </w:trPr>
        <w:tc>
          <w:tcPr>
            <w:tcW w:w="469" w:type="dxa"/>
            <w:vMerge w:val="continue"/>
            <w:tcBorders>
              <w:left w:val="single" w:color="333333" w:sz="4" w:space="0"/>
              <w:right w:val="single" w:color="333333" w:sz="4" w:space="0"/>
            </w:tcBorders>
            <w:noWrap w:val="0"/>
            <w:vAlign w:val="center"/>
          </w:tcPr>
          <w:p>
            <w:pPr>
              <w:widowControl/>
              <w:ind w:firstLine="420" w:firstLineChars="200"/>
              <w:rPr>
                <w:rFonts w:hint="eastAsia" w:ascii="仿宋_GB2312" w:hAnsi="宋体" w:eastAsia="仿宋_GB2312" w:cs="宋体"/>
                <w:color w:val="000000" w:themeColor="text1"/>
                <w:kern w:val="0"/>
                <w:sz w:val="21"/>
                <w:szCs w:val="21"/>
                <w:u w:val="none"/>
                <w14:textFill>
                  <w14:solidFill>
                    <w14:schemeClr w14:val="tx1"/>
                  </w14:solidFill>
                </w14:textFill>
              </w:rPr>
            </w:pPr>
          </w:p>
        </w:tc>
        <w:tc>
          <w:tcPr>
            <w:tcW w:w="3180" w:type="dxa"/>
            <w:gridSpan w:val="2"/>
            <w:vMerge w:val="continue"/>
            <w:tcBorders>
              <w:left w:val="single" w:color="333333" w:sz="4" w:space="0"/>
              <w:right w:val="single" w:color="333333" w:sz="4" w:space="0"/>
            </w:tcBorders>
            <w:noWrap w:val="0"/>
            <w:vAlign w:val="center"/>
          </w:tcPr>
          <w:p>
            <w:pPr>
              <w:widowControl/>
              <w:ind w:firstLine="420" w:firstLineChars="200"/>
              <w:rPr>
                <w:rFonts w:hint="eastAsia" w:ascii="仿宋_GB2312" w:hAnsi="宋体" w:eastAsia="仿宋_GB2312" w:cs="宋体"/>
                <w:color w:val="000000" w:themeColor="text1"/>
                <w:kern w:val="0"/>
                <w:sz w:val="21"/>
                <w:szCs w:val="21"/>
                <w:u w:val="none"/>
                <w14:textFill>
                  <w14:solidFill>
                    <w14:schemeClr w14:val="tx1"/>
                  </w14:solidFill>
                </w14:textFill>
              </w:rPr>
            </w:pPr>
          </w:p>
        </w:tc>
        <w:tc>
          <w:tcPr>
            <w:tcW w:w="3435" w:type="dxa"/>
            <w:tcBorders>
              <w:top w:val="single" w:color="auto" w:sz="4" w:space="0"/>
              <w:left w:val="nil"/>
              <w:bottom w:val="single" w:color="auto" w:sz="4" w:space="0"/>
              <w:right w:val="single" w:color="333333" w:sz="4" w:space="0"/>
            </w:tcBorders>
            <w:noWrap w:val="0"/>
            <w:vAlign w:val="center"/>
          </w:tcPr>
          <w:p>
            <w:pPr>
              <w:widowControl/>
              <w:rPr>
                <w:rFonts w:hint="eastAsia" w:ascii="仿宋_GB2312" w:hAnsi="宋体" w:eastAsia="仿宋_GB2312" w:cs="宋体"/>
                <w:color w:val="000000" w:themeColor="text1"/>
                <w:kern w:val="0"/>
                <w:sz w:val="21"/>
                <w:szCs w:val="21"/>
                <w:u w:val="none"/>
                <w:lang w:eastAsia="zh-CN"/>
                <w14:textFill>
                  <w14:solidFill>
                    <w14:schemeClr w14:val="tx1"/>
                  </w14:solidFill>
                </w14:textFill>
              </w:rPr>
            </w:pPr>
            <w:r>
              <w:rPr>
                <w:rFonts w:hint="eastAsia" w:ascii="仿宋_GB2312" w:hAnsi="宋体" w:eastAsia="仿宋_GB2312" w:cs="宋体"/>
                <w:color w:val="000000" w:themeColor="text1"/>
                <w:kern w:val="0"/>
                <w:sz w:val="21"/>
                <w:szCs w:val="21"/>
                <w:u w:val="none"/>
                <w:lang w:eastAsia="zh-CN"/>
                <w14:textFill>
                  <w14:solidFill>
                    <w14:schemeClr w14:val="tx1"/>
                  </w14:solidFill>
                </w14:textFill>
              </w:rPr>
              <w:t>双师双能型教师</w:t>
            </w:r>
          </w:p>
        </w:tc>
        <w:tc>
          <w:tcPr>
            <w:tcW w:w="1070" w:type="dxa"/>
            <w:tcBorders>
              <w:top w:val="single" w:color="auto" w:sz="4" w:space="0"/>
              <w:left w:val="nil"/>
              <w:bottom w:val="single" w:color="auto" w:sz="4" w:space="0"/>
              <w:right w:val="single" w:color="333333" w:sz="4" w:space="0"/>
            </w:tcBorders>
            <w:noWrap w:val="0"/>
            <w:vAlign w:val="center"/>
          </w:tcPr>
          <w:p>
            <w:pPr>
              <w:widowControl/>
              <w:rPr>
                <w:rFonts w:hint="default" w:ascii="仿宋_GB2312" w:hAnsi="宋体" w:eastAsia="仿宋_GB2312" w:cs="宋体"/>
                <w:color w:val="000000" w:themeColor="text1"/>
                <w:kern w:val="0"/>
                <w:sz w:val="21"/>
                <w:szCs w:val="21"/>
                <w:u w:val="none"/>
                <w:lang w:val="en-US" w:eastAsia="zh-CN"/>
                <w14:textFill>
                  <w14:solidFill>
                    <w14:schemeClr w14:val="tx1"/>
                  </w14:solidFill>
                </w14:textFill>
              </w:rPr>
            </w:pPr>
            <w:r>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t>183</w:t>
            </w:r>
          </w:p>
        </w:tc>
        <w:tc>
          <w:tcPr>
            <w:tcW w:w="1568" w:type="dxa"/>
            <w:tcBorders>
              <w:top w:val="single" w:color="auto" w:sz="4" w:space="0"/>
              <w:left w:val="nil"/>
              <w:bottom w:val="single" w:color="auto" w:sz="4" w:space="0"/>
              <w:right w:val="single" w:color="333333" w:sz="4" w:space="0"/>
            </w:tcBorders>
            <w:noWrap w:val="0"/>
            <w:vAlign w:val="center"/>
          </w:tcPr>
          <w:p>
            <w:pPr>
              <w:widowControl/>
              <w:rPr>
                <w:rFonts w:hint="default" w:ascii="仿宋_GB2312" w:hAnsi="宋体" w:eastAsia="仿宋_GB2312" w:cs="宋体"/>
                <w:color w:val="FF0000"/>
                <w:kern w:val="0"/>
                <w:sz w:val="21"/>
                <w:szCs w:val="21"/>
                <w:u w:val="none"/>
                <w:lang w:val="en-US" w:eastAsia="zh-CN"/>
              </w:rPr>
            </w:pPr>
            <w:r>
              <w:rPr>
                <w:rFonts w:hint="eastAsia" w:ascii="仿宋_GB2312" w:hAnsi="宋体" w:eastAsia="仿宋_GB2312" w:cs="宋体"/>
                <w:color w:val="FF0000"/>
                <w:kern w:val="0"/>
                <w:sz w:val="21"/>
                <w:szCs w:val="21"/>
                <w:u w:val="none"/>
                <w:lang w:val="en-US" w:eastAsia="zh-CN"/>
              </w:rPr>
              <w:t>720</w:t>
            </w:r>
          </w:p>
        </w:tc>
      </w:tr>
      <w:tr>
        <w:tblPrEx>
          <w:tblCellMar>
            <w:top w:w="0" w:type="dxa"/>
            <w:left w:w="108" w:type="dxa"/>
            <w:bottom w:w="0" w:type="dxa"/>
            <w:right w:w="108" w:type="dxa"/>
          </w:tblCellMar>
        </w:tblPrEx>
        <w:trPr>
          <w:trHeight w:val="284" w:hRule="exact"/>
          <w:jc w:val="center"/>
        </w:trPr>
        <w:tc>
          <w:tcPr>
            <w:tcW w:w="469" w:type="dxa"/>
            <w:vMerge w:val="continue"/>
            <w:tcBorders>
              <w:left w:val="single" w:color="333333" w:sz="4" w:space="0"/>
              <w:right w:val="single" w:color="333333" w:sz="4" w:space="0"/>
            </w:tcBorders>
            <w:noWrap w:val="0"/>
            <w:vAlign w:val="center"/>
          </w:tcPr>
          <w:p>
            <w:pPr>
              <w:widowControl/>
              <w:ind w:firstLine="420" w:firstLineChars="200"/>
              <w:rPr>
                <w:rFonts w:hint="eastAsia" w:ascii="仿宋_GB2312" w:hAnsi="宋体" w:eastAsia="仿宋_GB2312" w:cs="宋体"/>
                <w:color w:val="000000" w:themeColor="text1"/>
                <w:kern w:val="0"/>
                <w:sz w:val="21"/>
                <w:szCs w:val="21"/>
                <w:u w:val="none"/>
                <w14:textFill>
                  <w14:solidFill>
                    <w14:schemeClr w14:val="tx1"/>
                  </w14:solidFill>
                </w14:textFill>
              </w:rPr>
            </w:pPr>
          </w:p>
        </w:tc>
        <w:tc>
          <w:tcPr>
            <w:tcW w:w="3180" w:type="dxa"/>
            <w:gridSpan w:val="2"/>
            <w:vMerge w:val="continue"/>
            <w:tcBorders>
              <w:left w:val="single" w:color="333333" w:sz="4" w:space="0"/>
              <w:right w:val="single" w:color="333333" w:sz="4" w:space="0"/>
            </w:tcBorders>
            <w:noWrap w:val="0"/>
            <w:vAlign w:val="center"/>
          </w:tcPr>
          <w:p>
            <w:pPr>
              <w:widowControl/>
              <w:ind w:firstLine="420" w:firstLineChars="200"/>
              <w:rPr>
                <w:rFonts w:hint="eastAsia" w:ascii="仿宋_GB2312" w:hAnsi="宋体" w:eastAsia="仿宋_GB2312" w:cs="宋体"/>
                <w:color w:val="000000" w:themeColor="text1"/>
                <w:kern w:val="0"/>
                <w:sz w:val="21"/>
                <w:szCs w:val="21"/>
                <w:u w:val="none"/>
                <w14:textFill>
                  <w14:solidFill>
                    <w14:schemeClr w14:val="tx1"/>
                  </w14:solidFill>
                </w14:textFill>
              </w:rPr>
            </w:pPr>
          </w:p>
        </w:tc>
        <w:tc>
          <w:tcPr>
            <w:tcW w:w="3435" w:type="dxa"/>
            <w:tcBorders>
              <w:top w:val="single" w:color="auto" w:sz="4" w:space="0"/>
              <w:left w:val="nil"/>
              <w:bottom w:val="single" w:color="auto" w:sz="4" w:space="0"/>
              <w:right w:val="single" w:color="333333" w:sz="4" w:space="0"/>
            </w:tcBorders>
            <w:noWrap w:val="0"/>
            <w:vAlign w:val="center"/>
          </w:tcPr>
          <w:p>
            <w:pPr>
              <w:widowControl/>
              <w:rPr>
                <w:rFonts w:hint="eastAsia" w:ascii="仿宋_GB2312" w:hAnsi="宋体" w:eastAsia="仿宋_GB2312" w:cs="宋体"/>
                <w:color w:val="000000" w:themeColor="text1"/>
                <w:kern w:val="0"/>
                <w:sz w:val="21"/>
                <w:szCs w:val="21"/>
                <w:u w:val="none"/>
                <w:lang w:eastAsia="zh-CN"/>
                <w14:textFill>
                  <w14:solidFill>
                    <w14:schemeClr w14:val="tx1"/>
                  </w14:solidFill>
                </w14:textFill>
              </w:rPr>
            </w:pPr>
            <w:r>
              <w:rPr>
                <w:rFonts w:hint="eastAsia" w:ascii="仿宋_GB2312" w:hAnsi="宋体" w:eastAsia="仿宋_GB2312" w:cs="宋体"/>
                <w:color w:val="000000" w:themeColor="text1"/>
                <w:kern w:val="0"/>
                <w:sz w:val="21"/>
                <w:szCs w:val="21"/>
                <w:u w:val="none"/>
                <w:lang w:eastAsia="zh-CN"/>
                <w14:textFill>
                  <w14:solidFill>
                    <w14:schemeClr w14:val="tx1"/>
                  </w14:solidFill>
                </w14:textFill>
              </w:rPr>
              <w:t>省级优秀教学团队</w:t>
            </w:r>
          </w:p>
        </w:tc>
        <w:tc>
          <w:tcPr>
            <w:tcW w:w="1070" w:type="dxa"/>
            <w:tcBorders>
              <w:top w:val="single" w:color="auto" w:sz="4" w:space="0"/>
              <w:left w:val="nil"/>
              <w:bottom w:val="single" w:color="auto" w:sz="4" w:space="0"/>
              <w:right w:val="single" w:color="333333" w:sz="4" w:space="0"/>
            </w:tcBorders>
            <w:noWrap w:val="0"/>
            <w:vAlign w:val="center"/>
          </w:tcPr>
          <w:p>
            <w:pPr>
              <w:widowControl/>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pPr>
            <w:r>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t>2</w:t>
            </w:r>
          </w:p>
        </w:tc>
        <w:tc>
          <w:tcPr>
            <w:tcW w:w="1568" w:type="dxa"/>
            <w:tcBorders>
              <w:top w:val="single" w:color="auto" w:sz="4" w:space="0"/>
              <w:left w:val="nil"/>
              <w:bottom w:val="single" w:color="auto" w:sz="4" w:space="0"/>
              <w:right w:val="single" w:color="333333" w:sz="4" w:space="0"/>
            </w:tcBorders>
            <w:noWrap w:val="0"/>
            <w:vAlign w:val="center"/>
          </w:tcPr>
          <w:p>
            <w:pPr>
              <w:widowControl/>
              <w:rPr>
                <w:rFonts w:hint="default" w:ascii="仿宋_GB2312" w:hAnsi="宋体" w:eastAsia="仿宋_GB2312" w:cs="宋体"/>
                <w:color w:val="000000" w:themeColor="text1"/>
                <w:kern w:val="0"/>
                <w:sz w:val="21"/>
                <w:szCs w:val="21"/>
                <w:u w:val="none"/>
                <w:lang w:val="en-US" w:eastAsia="zh-CN"/>
                <w14:textFill>
                  <w14:solidFill>
                    <w14:schemeClr w14:val="tx1"/>
                  </w14:solidFill>
                </w14:textFill>
              </w:rPr>
            </w:pPr>
            <w:r>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t>10</w:t>
            </w:r>
          </w:p>
        </w:tc>
      </w:tr>
      <w:tr>
        <w:tblPrEx>
          <w:tblCellMar>
            <w:top w:w="0" w:type="dxa"/>
            <w:left w:w="108" w:type="dxa"/>
            <w:bottom w:w="0" w:type="dxa"/>
            <w:right w:w="108" w:type="dxa"/>
          </w:tblCellMar>
        </w:tblPrEx>
        <w:trPr>
          <w:trHeight w:val="284" w:hRule="exact"/>
          <w:jc w:val="center"/>
        </w:trPr>
        <w:tc>
          <w:tcPr>
            <w:tcW w:w="469" w:type="dxa"/>
            <w:vMerge w:val="continue"/>
            <w:tcBorders>
              <w:left w:val="single" w:color="333333" w:sz="4" w:space="0"/>
              <w:right w:val="single" w:color="333333" w:sz="4" w:space="0"/>
            </w:tcBorders>
            <w:noWrap w:val="0"/>
            <w:vAlign w:val="center"/>
          </w:tcPr>
          <w:p>
            <w:pPr>
              <w:widowControl/>
              <w:ind w:firstLine="420" w:firstLineChars="200"/>
              <w:rPr>
                <w:rFonts w:hint="eastAsia" w:ascii="仿宋_GB2312" w:hAnsi="宋体" w:eastAsia="仿宋_GB2312" w:cs="宋体"/>
                <w:color w:val="000000" w:themeColor="text1"/>
                <w:kern w:val="0"/>
                <w:sz w:val="21"/>
                <w:szCs w:val="21"/>
                <w:u w:val="none"/>
                <w14:textFill>
                  <w14:solidFill>
                    <w14:schemeClr w14:val="tx1"/>
                  </w14:solidFill>
                </w14:textFill>
              </w:rPr>
            </w:pPr>
          </w:p>
        </w:tc>
        <w:tc>
          <w:tcPr>
            <w:tcW w:w="3180" w:type="dxa"/>
            <w:gridSpan w:val="2"/>
            <w:vMerge w:val="continue"/>
            <w:tcBorders>
              <w:left w:val="single" w:color="333333" w:sz="4" w:space="0"/>
              <w:right w:val="single" w:color="333333" w:sz="4" w:space="0"/>
            </w:tcBorders>
            <w:noWrap w:val="0"/>
            <w:vAlign w:val="center"/>
          </w:tcPr>
          <w:p>
            <w:pPr>
              <w:widowControl/>
              <w:ind w:firstLine="420" w:firstLineChars="200"/>
              <w:rPr>
                <w:rFonts w:hint="eastAsia" w:ascii="仿宋_GB2312" w:hAnsi="宋体" w:eastAsia="仿宋_GB2312" w:cs="宋体"/>
                <w:color w:val="000000" w:themeColor="text1"/>
                <w:kern w:val="0"/>
                <w:sz w:val="21"/>
                <w:szCs w:val="21"/>
                <w:u w:val="none"/>
                <w14:textFill>
                  <w14:solidFill>
                    <w14:schemeClr w14:val="tx1"/>
                  </w14:solidFill>
                </w14:textFill>
              </w:rPr>
            </w:pPr>
          </w:p>
        </w:tc>
        <w:tc>
          <w:tcPr>
            <w:tcW w:w="3435" w:type="dxa"/>
            <w:tcBorders>
              <w:top w:val="single" w:color="auto" w:sz="4" w:space="0"/>
              <w:left w:val="nil"/>
              <w:bottom w:val="single" w:color="auto" w:sz="4" w:space="0"/>
              <w:right w:val="single" w:color="333333" w:sz="4" w:space="0"/>
            </w:tcBorders>
            <w:noWrap w:val="0"/>
            <w:vAlign w:val="center"/>
          </w:tcPr>
          <w:p>
            <w:pPr>
              <w:widowControl/>
              <w:rPr>
                <w:rFonts w:hint="eastAsia" w:ascii="仿宋_GB2312" w:hAnsi="宋体" w:eastAsia="仿宋_GB2312" w:cs="宋体"/>
                <w:color w:val="000000" w:themeColor="text1"/>
                <w:kern w:val="0"/>
                <w:sz w:val="21"/>
                <w:szCs w:val="21"/>
                <w:u w:val="none"/>
                <w:lang w:eastAsia="zh-CN"/>
                <w14:textFill>
                  <w14:solidFill>
                    <w14:schemeClr w14:val="tx1"/>
                  </w14:solidFill>
                </w14:textFill>
              </w:rPr>
            </w:pPr>
            <w:r>
              <w:rPr>
                <w:rFonts w:hint="eastAsia" w:ascii="仿宋_GB2312" w:hAnsi="宋体" w:eastAsia="仿宋_GB2312" w:cs="宋体"/>
                <w:color w:val="000000" w:themeColor="text1"/>
                <w:kern w:val="0"/>
                <w:sz w:val="21"/>
                <w:szCs w:val="21"/>
                <w:u w:val="none"/>
                <w:lang w:eastAsia="zh-CN"/>
                <w14:textFill>
                  <w14:solidFill>
                    <w14:schemeClr w14:val="tx1"/>
                  </w14:solidFill>
                </w14:textFill>
              </w:rPr>
              <w:t>国家级、省部级科技创新团队</w:t>
            </w:r>
          </w:p>
        </w:tc>
        <w:tc>
          <w:tcPr>
            <w:tcW w:w="1070" w:type="dxa"/>
            <w:tcBorders>
              <w:top w:val="single" w:color="auto" w:sz="4" w:space="0"/>
              <w:left w:val="nil"/>
              <w:bottom w:val="single" w:color="auto" w:sz="4" w:space="0"/>
              <w:right w:val="single" w:color="333333" w:sz="4" w:space="0"/>
            </w:tcBorders>
            <w:noWrap w:val="0"/>
            <w:vAlign w:val="center"/>
          </w:tcPr>
          <w:p>
            <w:pPr>
              <w:widowControl/>
              <w:rPr>
                <w:rFonts w:hint="default" w:ascii="仿宋_GB2312" w:hAnsi="宋体" w:eastAsia="仿宋_GB2312" w:cs="宋体"/>
                <w:color w:val="000000" w:themeColor="text1"/>
                <w:kern w:val="0"/>
                <w:sz w:val="21"/>
                <w:szCs w:val="21"/>
                <w:u w:val="none"/>
                <w:lang w:val="en-US" w:eastAsia="zh-CN"/>
                <w14:textFill>
                  <w14:solidFill>
                    <w14:schemeClr w14:val="tx1"/>
                  </w14:solidFill>
                </w14:textFill>
              </w:rPr>
            </w:pPr>
            <w:r>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t>1</w:t>
            </w:r>
          </w:p>
        </w:tc>
        <w:tc>
          <w:tcPr>
            <w:tcW w:w="1568" w:type="dxa"/>
            <w:tcBorders>
              <w:top w:val="single" w:color="auto" w:sz="4" w:space="0"/>
              <w:left w:val="nil"/>
              <w:bottom w:val="single" w:color="auto" w:sz="4" w:space="0"/>
              <w:right w:val="single" w:color="333333" w:sz="4" w:space="0"/>
            </w:tcBorders>
            <w:noWrap w:val="0"/>
            <w:vAlign w:val="center"/>
          </w:tcPr>
          <w:p>
            <w:pPr>
              <w:widowControl/>
              <w:rPr>
                <w:rFonts w:hint="default" w:ascii="仿宋_GB2312" w:hAnsi="宋体" w:eastAsia="仿宋_GB2312" w:cs="宋体"/>
                <w:color w:val="000000" w:themeColor="text1"/>
                <w:kern w:val="0"/>
                <w:sz w:val="21"/>
                <w:szCs w:val="21"/>
                <w:u w:val="none"/>
                <w:lang w:val="en-US" w:eastAsia="zh-CN"/>
                <w14:textFill>
                  <w14:solidFill>
                    <w14:schemeClr w14:val="tx1"/>
                  </w14:solidFill>
                </w14:textFill>
              </w:rPr>
            </w:pPr>
            <w:r>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t>5-10</w:t>
            </w:r>
          </w:p>
        </w:tc>
      </w:tr>
      <w:tr>
        <w:tblPrEx>
          <w:tblCellMar>
            <w:top w:w="0" w:type="dxa"/>
            <w:left w:w="108" w:type="dxa"/>
            <w:bottom w:w="0" w:type="dxa"/>
            <w:right w:w="108" w:type="dxa"/>
          </w:tblCellMar>
        </w:tblPrEx>
        <w:trPr>
          <w:trHeight w:val="284" w:hRule="exact"/>
          <w:jc w:val="center"/>
        </w:trPr>
        <w:tc>
          <w:tcPr>
            <w:tcW w:w="469" w:type="dxa"/>
            <w:vMerge w:val="continue"/>
            <w:tcBorders>
              <w:left w:val="single" w:color="333333" w:sz="4" w:space="0"/>
              <w:right w:val="single" w:color="333333" w:sz="4" w:space="0"/>
            </w:tcBorders>
            <w:noWrap w:val="0"/>
            <w:vAlign w:val="center"/>
          </w:tcPr>
          <w:p>
            <w:pPr>
              <w:widowControl/>
              <w:ind w:firstLine="420" w:firstLineChars="200"/>
              <w:rPr>
                <w:rFonts w:hint="eastAsia" w:ascii="仿宋_GB2312" w:hAnsi="宋体" w:eastAsia="仿宋_GB2312" w:cs="宋体"/>
                <w:color w:val="000000" w:themeColor="text1"/>
                <w:kern w:val="0"/>
                <w:sz w:val="21"/>
                <w:szCs w:val="21"/>
                <w:u w:val="none"/>
                <w14:textFill>
                  <w14:solidFill>
                    <w14:schemeClr w14:val="tx1"/>
                  </w14:solidFill>
                </w14:textFill>
              </w:rPr>
            </w:pPr>
          </w:p>
        </w:tc>
        <w:tc>
          <w:tcPr>
            <w:tcW w:w="3180" w:type="dxa"/>
            <w:gridSpan w:val="2"/>
            <w:vMerge w:val="continue"/>
            <w:tcBorders>
              <w:left w:val="single" w:color="333333" w:sz="4" w:space="0"/>
              <w:right w:val="single" w:color="333333" w:sz="4" w:space="0"/>
            </w:tcBorders>
            <w:noWrap w:val="0"/>
            <w:vAlign w:val="center"/>
          </w:tcPr>
          <w:p>
            <w:pPr>
              <w:widowControl/>
              <w:ind w:firstLine="420" w:firstLineChars="200"/>
              <w:rPr>
                <w:rFonts w:hint="eastAsia" w:ascii="仿宋_GB2312" w:hAnsi="宋体" w:eastAsia="仿宋_GB2312" w:cs="宋体"/>
                <w:color w:val="000000" w:themeColor="text1"/>
                <w:kern w:val="0"/>
                <w:sz w:val="21"/>
                <w:szCs w:val="21"/>
                <w:u w:val="none"/>
                <w14:textFill>
                  <w14:solidFill>
                    <w14:schemeClr w14:val="tx1"/>
                  </w14:solidFill>
                </w14:textFill>
              </w:rPr>
            </w:pPr>
          </w:p>
        </w:tc>
        <w:tc>
          <w:tcPr>
            <w:tcW w:w="3435" w:type="dxa"/>
            <w:tcBorders>
              <w:top w:val="single" w:color="auto" w:sz="4" w:space="0"/>
              <w:left w:val="nil"/>
              <w:bottom w:val="single" w:color="auto" w:sz="4" w:space="0"/>
              <w:right w:val="single" w:color="333333" w:sz="4" w:space="0"/>
            </w:tcBorders>
            <w:noWrap w:val="0"/>
            <w:vAlign w:val="center"/>
          </w:tcPr>
          <w:p>
            <w:pPr>
              <w:widowControl/>
              <w:rPr>
                <w:rFonts w:hint="eastAsia" w:ascii="仿宋_GB2312" w:hAnsi="宋体" w:eastAsia="仿宋_GB2312" w:cs="宋体"/>
                <w:color w:val="000000" w:themeColor="text1"/>
                <w:kern w:val="0"/>
                <w:sz w:val="21"/>
                <w:szCs w:val="21"/>
                <w:u w:val="none"/>
                <w:lang w:eastAsia="zh-CN"/>
                <w14:textFill>
                  <w14:solidFill>
                    <w14:schemeClr w14:val="tx1"/>
                  </w14:solidFill>
                </w14:textFill>
              </w:rPr>
            </w:pPr>
            <w:r>
              <w:rPr>
                <w:rFonts w:hint="eastAsia" w:ascii="仿宋_GB2312" w:hAnsi="宋体" w:eastAsia="仿宋_GB2312" w:cs="宋体"/>
                <w:color w:val="000000" w:themeColor="text1"/>
                <w:kern w:val="0"/>
                <w:sz w:val="21"/>
                <w:szCs w:val="21"/>
                <w:u w:val="none"/>
                <w:lang w:eastAsia="zh-CN"/>
                <w14:textFill>
                  <w14:solidFill>
                    <w14:schemeClr w14:val="tx1"/>
                  </w14:solidFill>
                </w14:textFill>
              </w:rPr>
              <w:t>省级优秀基层教学组织</w:t>
            </w:r>
          </w:p>
        </w:tc>
        <w:tc>
          <w:tcPr>
            <w:tcW w:w="1070" w:type="dxa"/>
            <w:tcBorders>
              <w:top w:val="single" w:color="auto" w:sz="4" w:space="0"/>
              <w:left w:val="nil"/>
              <w:bottom w:val="single" w:color="auto" w:sz="4" w:space="0"/>
              <w:right w:val="single" w:color="333333" w:sz="4" w:space="0"/>
            </w:tcBorders>
            <w:noWrap w:val="0"/>
            <w:vAlign w:val="center"/>
          </w:tcPr>
          <w:p>
            <w:pPr>
              <w:widowControl/>
              <w:rPr>
                <w:rFonts w:hint="default" w:ascii="仿宋_GB2312" w:hAnsi="宋体" w:eastAsia="仿宋_GB2312" w:cs="宋体"/>
                <w:color w:val="000000" w:themeColor="text1"/>
                <w:kern w:val="0"/>
                <w:sz w:val="21"/>
                <w:szCs w:val="21"/>
                <w:u w:val="none"/>
                <w:lang w:val="en-US" w:eastAsia="zh-CN"/>
                <w14:textFill>
                  <w14:solidFill>
                    <w14:schemeClr w14:val="tx1"/>
                  </w14:solidFill>
                </w14:textFill>
              </w:rPr>
            </w:pPr>
            <w:r>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t>5</w:t>
            </w:r>
          </w:p>
        </w:tc>
        <w:tc>
          <w:tcPr>
            <w:tcW w:w="1568" w:type="dxa"/>
            <w:tcBorders>
              <w:top w:val="single" w:color="auto" w:sz="4" w:space="0"/>
              <w:left w:val="nil"/>
              <w:bottom w:val="single" w:color="auto" w:sz="4" w:space="0"/>
              <w:right w:val="single" w:color="333333" w:sz="4" w:space="0"/>
            </w:tcBorders>
            <w:noWrap w:val="0"/>
            <w:vAlign w:val="center"/>
          </w:tcPr>
          <w:p>
            <w:pPr>
              <w:widowControl/>
              <w:rPr>
                <w:rFonts w:hint="default" w:ascii="仿宋_GB2312" w:hAnsi="宋体" w:eastAsia="仿宋_GB2312" w:cs="宋体"/>
                <w:color w:val="000000" w:themeColor="text1"/>
                <w:kern w:val="0"/>
                <w:sz w:val="21"/>
                <w:szCs w:val="21"/>
                <w:u w:val="none"/>
                <w:lang w:val="en-US" w:eastAsia="zh-CN"/>
                <w14:textFill>
                  <w14:solidFill>
                    <w14:schemeClr w14:val="tx1"/>
                  </w14:solidFill>
                </w14:textFill>
              </w:rPr>
            </w:pPr>
            <w:r>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t>10</w:t>
            </w:r>
          </w:p>
        </w:tc>
      </w:tr>
      <w:tr>
        <w:tblPrEx>
          <w:tblCellMar>
            <w:top w:w="0" w:type="dxa"/>
            <w:left w:w="108" w:type="dxa"/>
            <w:bottom w:w="0" w:type="dxa"/>
            <w:right w:w="108" w:type="dxa"/>
          </w:tblCellMar>
        </w:tblPrEx>
        <w:trPr>
          <w:trHeight w:val="284" w:hRule="exact"/>
          <w:jc w:val="center"/>
        </w:trPr>
        <w:tc>
          <w:tcPr>
            <w:tcW w:w="469" w:type="dxa"/>
            <w:vMerge w:val="continue"/>
            <w:tcBorders>
              <w:left w:val="single" w:color="333333" w:sz="4" w:space="0"/>
              <w:right w:val="single" w:color="333333" w:sz="4" w:space="0"/>
            </w:tcBorders>
            <w:noWrap w:val="0"/>
            <w:vAlign w:val="center"/>
          </w:tcPr>
          <w:p>
            <w:pPr>
              <w:widowControl/>
              <w:ind w:firstLine="420" w:firstLineChars="200"/>
              <w:rPr>
                <w:rFonts w:hint="eastAsia" w:ascii="仿宋_GB2312" w:hAnsi="宋体" w:eastAsia="仿宋_GB2312" w:cs="宋体"/>
                <w:color w:val="000000" w:themeColor="text1"/>
                <w:kern w:val="0"/>
                <w:sz w:val="21"/>
                <w:szCs w:val="21"/>
                <w:u w:val="none"/>
                <w14:textFill>
                  <w14:solidFill>
                    <w14:schemeClr w14:val="tx1"/>
                  </w14:solidFill>
                </w14:textFill>
              </w:rPr>
            </w:pPr>
          </w:p>
        </w:tc>
        <w:tc>
          <w:tcPr>
            <w:tcW w:w="3180" w:type="dxa"/>
            <w:gridSpan w:val="2"/>
            <w:vMerge w:val="continue"/>
            <w:tcBorders>
              <w:left w:val="single" w:color="333333" w:sz="4" w:space="0"/>
              <w:right w:val="single" w:color="333333" w:sz="4" w:space="0"/>
            </w:tcBorders>
            <w:noWrap w:val="0"/>
            <w:vAlign w:val="center"/>
          </w:tcPr>
          <w:p>
            <w:pPr>
              <w:widowControl/>
              <w:ind w:firstLine="420" w:firstLineChars="200"/>
              <w:rPr>
                <w:rFonts w:hint="eastAsia" w:ascii="仿宋_GB2312" w:hAnsi="宋体" w:eastAsia="仿宋_GB2312" w:cs="宋体"/>
                <w:color w:val="000000" w:themeColor="text1"/>
                <w:kern w:val="0"/>
                <w:sz w:val="21"/>
                <w:szCs w:val="21"/>
                <w:u w:val="none"/>
                <w14:textFill>
                  <w14:solidFill>
                    <w14:schemeClr w14:val="tx1"/>
                  </w14:solidFill>
                </w14:textFill>
              </w:rPr>
            </w:pPr>
          </w:p>
        </w:tc>
        <w:tc>
          <w:tcPr>
            <w:tcW w:w="3435" w:type="dxa"/>
            <w:tcBorders>
              <w:top w:val="single" w:color="auto" w:sz="4" w:space="0"/>
              <w:left w:val="nil"/>
              <w:bottom w:val="single" w:color="auto" w:sz="4" w:space="0"/>
              <w:right w:val="single" w:color="333333" w:sz="4" w:space="0"/>
            </w:tcBorders>
            <w:noWrap w:val="0"/>
            <w:vAlign w:val="center"/>
          </w:tcPr>
          <w:p>
            <w:pPr>
              <w:widowControl/>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pPr>
            <w:r>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t>硕士研究生导师数量</w:t>
            </w:r>
          </w:p>
        </w:tc>
        <w:tc>
          <w:tcPr>
            <w:tcW w:w="1070" w:type="dxa"/>
            <w:tcBorders>
              <w:top w:val="single" w:color="auto" w:sz="4" w:space="0"/>
              <w:left w:val="nil"/>
              <w:bottom w:val="single" w:color="auto" w:sz="4" w:space="0"/>
              <w:right w:val="single" w:color="333333" w:sz="4" w:space="0"/>
            </w:tcBorders>
            <w:noWrap w:val="0"/>
            <w:vAlign w:val="center"/>
          </w:tcPr>
          <w:p>
            <w:pPr>
              <w:widowControl/>
              <w:rPr>
                <w:rFonts w:hint="default" w:ascii="仿宋_GB2312" w:hAnsi="宋体" w:eastAsia="仿宋_GB2312" w:cs="宋体"/>
                <w:color w:val="000000" w:themeColor="text1"/>
                <w:kern w:val="0"/>
                <w:sz w:val="21"/>
                <w:szCs w:val="21"/>
                <w:u w:val="none"/>
                <w:lang w:val="en-US" w:eastAsia="zh-CN"/>
                <w14:textFill>
                  <w14:solidFill>
                    <w14:schemeClr w14:val="tx1"/>
                  </w14:solidFill>
                </w14:textFill>
              </w:rPr>
            </w:pPr>
            <w:r>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t>7</w:t>
            </w:r>
          </w:p>
        </w:tc>
        <w:tc>
          <w:tcPr>
            <w:tcW w:w="1568" w:type="dxa"/>
            <w:tcBorders>
              <w:top w:val="single" w:color="auto" w:sz="4" w:space="0"/>
              <w:left w:val="nil"/>
              <w:bottom w:val="single" w:color="auto" w:sz="4" w:space="0"/>
              <w:right w:val="single" w:color="333333" w:sz="4" w:space="0"/>
            </w:tcBorders>
            <w:noWrap w:val="0"/>
            <w:vAlign w:val="center"/>
          </w:tcPr>
          <w:p>
            <w:pPr>
              <w:widowControl/>
              <w:rPr>
                <w:rFonts w:hint="default" w:ascii="仿宋_GB2312" w:hAnsi="宋体" w:eastAsia="仿宋_GB2312" w:cs="宋体"/>
                <w:color w:val="000000" w:themeColor="text1"/>
                <w:kern w:val="0"/>
                <w:sz w:val="21"/>
                <w:szCs w:val="21"/>
                <w:u w:val="none"/>
                <w:lang w:val="en-US" w:eastAsia="zh-CN"/>
                <w14:textFill>
                  <w14:solidFill>
                    <w14:schemeClr w14:val="tx1"/>
                  </w14:solidFill>
                </w14:textFill>
              </w:rPr>
            </w:pPr>
            <w:r>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t>30</w:t>
            </w:r>
          </w:p>
        </w:tc>
      </w:tr>
      <w:tr>
        <w:tblPrEx>
          <w:tblBorders>
            <w:top w:val="single" w:color="333333" w:sz="4" w:space="0"/>
            <w:left w:val="single" w:color="333333" w:sz="4" w:space="0"/>
            <w:bottom w:val="single" w:color="333333" w:sz="4" w:space="0"/>
            <w:right w:val="single" w:color="333333" w:sz="4" w:space="0"/>
            <w:insideH w:val="single" w:color="333333" w:sz="4" w:space="0"/>
            <w:insideV w:val="single" w:color="333333" w:sz="4" w:space="0"/>
          </w:tblBorders>
          <w:tblCellMar>
            <w:top w:w="0" w:type="dxa"/>
            <w:left w:w="108" w:type="dxa"/>
            <w:bottom w:w="0" w:type="dxa"/>
            <w:right w:w="108" w:type="dxa"/>
          </w:tblCellMar>
        </w:tblPrEx>
        <w:trPr>
          <w:trHeight w:val="294" w:hRule="exact"/>
          <w:jc w:val="center"/>
        </w:trPr>
        <w:tc>
          <w:tcPr>
            <w:tcW w:w="469" w:type="dxa"/>
            <w:vMerge w:val="restart"/>
            <w:noWrap w:val="0"/>
            <w:textDirection w:val="tbRlV"/>
            <w:vAlign w:val="center"/>
          </w:tcPr>
          <w:p>
            <w:pPr>
              <w:widowControl/>
              <w:jc w:val="center"/>
              <w:rPr>
                <w:rFonts w:hint="eastAsia" w:ascii="仿宋_GB2312" w:hAnsi="宋体" w:eastAsia="仿宋_GB2312" w:cs="宋体"/>
                <w:color w:val="000000" w:themeColor="text1"/>
                <w:kern w:val="0"/>
                <w:sz w:val="21"/>
                <w:szCs w:val="21"/>
                <w:u w:val="none"/>
                <w:lang w:eastAsia="zh-CN"/>
                <w14:textFill>
                  <w14:solidFill>
                    <w14:schemeClr w14:val="tx1"/>
                  </w14:solidFill>
                </w14:textFill>
              </w:rPr>
            </w:pPr>
            <w:r>
              <w:rPr>
                <w:rFonts w:hint="eastAsia" w:ascii="仿宋_GB2312" w:hAnsi="宋体" w:eastAsia="仿宋_GB2312" w:cs="宋体"/>
                <w:b/>
                <w:bCs/>
                <w:color w:val="000000" w:themeColor="text1"/>
                <w:kern w:val="0"/>
                <w:sz w:val="21"/>
                <w:szCs w:val="21"/>
                <w:u w:val="none"/>
                <w:lang w:eastAsia="zh-CN"/>
                <w14:textFill>
                  <w14:solidFill>
                    <w14:schemeClr w14:val="tx1"/>
                  </w14:solidFill>
                </w14:textFill>
              </w:rPr>
              <w:t>学科专业</w:t>
            </w:r>
          </w:p>
        </w:tc>
        <w:tc>
          <w:tcPr>
            <w:tcW w:w="3180" w:type="dxa"/>
            <w:gridSpan w:val="2"/>
            <w:vMerge w:val="restart"/>
            <w:noWrap w:val="0"/>
            <w:vAlign w:val="center"/>
          </w:tcPr>
          <w:p>
            <w:pPr>
              <w:widowControl/>
              <w:rPr>
                <w:rFonts w:hint="eastAsia" w:ascii="仿宋_GB2312" w:hAnsi="宋体" w:eastAsia="仿宋_GB2312" w:cs="宋体"/>
                <w:color w:val="000000" w:themeColor="text1"/>
                <w:kern w:val="0"/>
                <w:sz w:val="21"/>
                <w:szCs w:val="21"/>
                <w:u w:val="none"/>
                <w14:textFill>
                  <w14:solidFill>
                    <w14:schemeClr w14:val="tx1"/>
                  </w14:solidFill>
                </w14:textFill>
              </w:rPr>
            </w:pPr>
            <w:r>
              <w:rPr>
                <w:rFonts w:hint="eastAsia" w:ascii="仿宋_GB2312" w:hAnsi="宋体" w:eastAsia="仿宋_GB2312" w:cs="宋体"/>
                <w:color w:val="000000" w:themeColor="text1"/>
                <w:kern w:val="0"/>
                <w:sz w:val="21"/>
                <w:szCs w:val="21"/>
                <w:u w:val="none"/>
                <w14:textFill>
                  <w14:solidFill>
                    <w14:schemeClr w14:val="tx1"/>
                  </w14:solidFill>
                </w14:textFill>
              </w:rPr>
              <w:t>专业建设（个）</w:t>
            </w:r>
          </w:p>
        </w:tc>
        <w:tc>
          <w:tcPr>
            <w:tcW w:w="3435" w:type="dxa"/>
            <w:noWrap w:val="0"/>
            <w:vAlign w:val="center"/>
          </w:tcPr>
          <w:p>
            <w:pPr>
              <w:widowControl/>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pPr>
            <w:r>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t>本科专业</w:t>
            </w:r>
          </w:p>
        </w:tc>
        <w:tc>
          <w:tcPr>
            <w:tcW w:w="1070" w:type="dxa"/>
            <w:noWrap w:val="0"/>
            <w:vAlign w:val="center"/>
          </w:tcPr>
          <w:p>
            <w:pPr>
              <w:widowControl/>
              <w:rPr>
                <w:rFonts w:hint="default" w:ascii="仿宋_GB2312" w:hAnsi="宋体" w:eastAsia="仿宋_GB2312" w:cs="宋体"/>
                <w:color w:val="000000" w:themeColor="text1"/>
                <w:kern w:val="0"/>
                <w:sz w:val="21"/>
                <w:szCs w:val="21"/>
                <w:u w:val="none"/>
                <w:lang w:val="en-US" w:eastAsia="zh-CN"/>
                <w14:textFill>
                  <w14:solidFill>
                    <w14:schemeClr w14:val="tx1"/>
                  </w14:solidFill>
                </w14:textFill>
              </w:rPr>
            </w:pPr>
            <w:r>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t>37</w:t>
            </w:r>
          </w:p>
        </w:tc>
        <w:tc>
          <w:tcPr>
            <w:tcW w:w="1568" w:type="dxa"/>
            <w:noWrap w:val="0"/>
            <w:vAlign w:val="center"/>
          </w:tcPr>
          <w:p>
            <w:pPr>
              <w:widowControl/>
              <w:rPr>
                <w:rFonts w:hint="default" w:ascii="仿宋_GB2312" w:hAnsi="宋体" w:eastAsia="仿宋_GB2312" w:cs="宋体"/>
                <w:color w:val="000000" w:themeColor="text1"/>
                <w:kern w:val="0"/>
                <w:sz w:val="21"/>
                <w:szCs w:val="21"/>
                <w:u w:val="none"/>
                <w:lang w:val="en-US" w:eastAsia="zh-CN"/>
                <w14:textFill>
                  <w14:solidFill>
                    <w14:schemeClr w14:val="tx1"/>
                  </w14:solidFill>
                </w14:textFill>
              </w:rPr>
            </w:pPr>
            <w:r>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t>50个左右</w:t>
            </w:r>
          </w:p>
        </w:tc>
      </w:tr>
      <w:tr>
        <w:tblPrEx>
          <w:tblBorders>
            <w:top w:val="single" w:color="333333" w:sz="4" w:space="0"/>
            <w:left w:val="single" w:color="333333" w:sz="4" w:space="0"/>
            <w:bottom w:val="single" w:color="333333" w:sz="4" w:space="0"/>
            <w:right w:val="single" w:color="333333" w:sz="4" w:space="0"/>
            <w:insideH w:val="single" w:color="333333" w:sz="4" w:space="0"/>
            <w:insideV w:val="single" w:color="333333" w:sz="4" w:space="0"/>
          </w:tblBorders>
          <w:tblCellMar>
            <w:top w:w="0" w:type="dxa"/>
            <w:left w:w="108" w:type="dxa"/>
            <w:bottom w:w="0" w:type="dxa"/>
            <w:right w:w="108" w:type="dxa"/>
          </w:tblCellMar>
        </w:tblPrEx>
        <w:trPr>
          <w:trHeight w:val="284" w:hRule="exact"/>
          <w:jc w:val="center"/>
        </w:trPr>
        <w:tc>
          <w:tcPr>
            <w:tcW w:w="469" w:type="dxa"/>
            <w:vMerge w:val="continue"/>
            <w:noWrap w:val="0"/>
            <w:vAlign w:val="center"/>
          </w:tcPr>
          <w:p>
            <w:pPr>
              <w:widowControl/>
              <w:ind w:firstLine="420" w:firstLineChars="200"/>
              <w:rPr>
                <w:rFonts w:hint="eastAsia" w:ascii="仿宋_GB2312" w:hAnsi="宋体" w:eastAsia="仿宋_GB2312" w:cs="宋体"/>
                <w:color w:val="000000" w:themeColor="text1"/>
                <w:kern w:val="0"/>
                <w:sz w:val="21"/>
                <w:szCs w:val="21"/>
                <w:u w:val="none"/>
                <w14:textFill>
                  <w14:solidFill>
                    <w14:schemeClr w14:val="tx1"/>
                  </w14:solidFill>
                </w14:textFill>
              </w:rPr>
            </w:pPr>
          </w:p>
        </w:tc>
        <w:tc>
          <w:tcPr>
            <w:tcW w:w="3180" w:type="dxa"/>
            <w:gridSpan w:val="2"/>
            <w:vMerge w:val="continue"/>
            <w:noWrap w:val="0"/>
            <w:vAlign w:val="center"/>
          </w:tcPr>
          <w:p>
            <w:pPr>
              <w:widowControl/>
              <w:ind w:firstLine="420" w:firstLineChars="200"/>
              <w:rPr>
                <w:rFonts w:hint="eastAsia" w:ascii="仿宋_GB2312" w:hAnsi="宋体" w:eastAsia="仿宋_GB2312" w:cs="宋体"/>
                <w:color w:val="000000" w:themeColor="text1"/>
                <w:kern w:val="0"/>
                <w:sz w:val="21"/>
                <w:szCs w:val="21"/>
                <w:u w:val="none"/>
                <w14:textFill>
                  <w14:solidFill>
                    <w14:schemeClr w14:val="tx1"/>
                  </w14:solidFill>
                </w14:textFill>
              </w:rPr>
            </w:pPr>
          </w:p>
        </w:tc>
        <w:tc>
          <w:tcPr>
            <w:tcW w:w="3435" w:type="dxa"/>
            <w:noWrap w:val="0"/>
            <w:vAlign w:val="center"/>
          </w:tcPr>
          <w:p>
            <w:pPr>
              <w:widowControl/>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pPr>
            <w:r>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t>专科专业</w:t>
            </w:r>
          </w:p>
        </w:tc>
        <w:tc>
          <w:tcPr>
            <w:tcW w:w="1070" w:type="dxa"/>
            <w:noWrap w:val="0"/>
            <w:vAlign w:val="center"/>
          </w:tcPr>
          <w:p>
            <w:pPr>
              <w:widowControl/>
              <w:rPr>
                <w:rFonts w:hint="default" w:ascii="仿宋_GB2312" w:hAnsi="宋体" w:eastAsia="仿宋_GB2312" w:cs="宋体"/>
                <w:color w:val="000000" w:themeColor="text1"/>
                <w:kern w:val="0"/>
                <w:sz w:val="21"/>
                <w:szCs w:val="21"/>
                <w:u w:val="none"/>
                <w:lang w:val="en-US" w:eastAsia="zh-CN"/>
                <w14:textFill>
                  <w14:solidFill>
                    <w14:schemeClr w14:val="tx1"/>
                  </w14:solidFill>
                </w14:textFill>
              </w:rPr>
            </w:pPr>
            <w:r>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t>24</w:t>
            </w:r>
          </w:p>
        </w:tc>
        <w:tc>
          <w:tcPr>
            <w:tcW w:w="1568" w:type="dxa"/>
            <w:noWrap w:val="0"/>
            <w:vAlign w:val="center"/>
          </w:tcPr>
          <w:p>
            <w:pPr>
              <w:widowControl/>
              <w:rPr>
                <w:rFonts w:hint="default" w:ascii="仿宋_GB2312" w:hAnsi="宋体" w:eastAsia="仿宋_GB2312" w:cs="宋体"/>
                <w:color w:val="000000" w:themeColor="text1"/>
                <w:kern w:val="0"/>
                <w:sz w:val="21"/>
                <w:szCs w:val="21"/>
                <w:u w:val="none"/>
                <w:lang w:val="en-US" w:eastAsia="zh-CN"/>
                <w14:textFill>
                  <w14:solidFill>
                    <w14:schemeClr w14:val="tx1"/>
                  </w14:solidFill>
                </w14:textFill>
              </w:rPr>
            </w:pPr>
            <w:r>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t>10</w:t>
            </w:r>
          </w:p>
        </w:tc>
      </w:tr>
      <w:tr>
        <w:tblPrEx>
          <w:tblBorders>
            <w:top w:val="single" w:color="333333" w:sz="4" w:space="0"/>
            <w:left w:val="single" w:color="333333" w:sz="4" w:space="0"/>
            <w:bottom w:val="single" w:color="333333" w:sz="4" w:space="0"/>
            <w:right w:val="single" w:color="333333" w:sz="4" w:space="0"/>
            <w:insideH w:val="single" w:color="333333" w:sz="4" w:space="0"/>
            <w:insideV w:val="single" w:color="333333" w:sz="4" w:space="0"/>
          </w:tblBorders>
          <w:tblCellMar>
            <w:top w:w="0" w:type="dxa"/>
            <w:left w:w="108" w:type="dxa"/>
            <w:bottom w:w="0" w:type="dxa"/>
            <w:right w:w="108" w:type="dxa"/>
          </w:tblCellMar>
        </w:tblPrEx>
        <w:trPr>
          <w:trHeight w:val="274" w:hRule="exact"/>
          <w:jc w:val="center"/>
        </w:trPr>
        <w:tc>
          <w:tcPr>
            <w:tcW w:w="469" w:type="dxa"/>
            <w:vMerge w:val="continue"/>
            <w:noWrap w:val="0"/>
            <w:vAlign w:val="center"/>
          </w:tcPr>
          <w:p>
            <w:pPr>
              <w:widowControl/>
              <w:ind w:firstLine="420" w:firstLineChars="200"/>
              <w:rPr>
                <w:rFonts w:hint="eastAsia" w:ascii="仿宋_GB2312" w:hAnsi="宋体" w:eastAsia="仿宋_GB2312" w:cs="宋体"/>
                <w:color w:val="000000" w:themeColor="text1"/>
                <w:kern w:val="0"/>
                <w:sz w:val="21"/>
                <w:szCs w:val="21"/>
                <w:u w:val="none"/>
                <w14:textFill>
                  <w14:solidFill>
                    <w14:schemeClr w14:val="tx1"/>
                  </w14:solidFill>
                </w14:textFill>
              </w:rPr>
            </w:pPr>
          </w:p>
        </w:tc>
        <w:tc>
          <w:tcPr>
            <w:tcW w:w="3180" w:type="dxa"/>
            <w:gridSpan w:val="2"/>
            <w:vMerge w:val="continue"/>
            <w:noWrap w:val="0"/>
            <w:vAlign w:val="center"/>
          </w:tcPr>
          <w:p>
            <w:pPr>
              <w:widowControl/>
              <w:ind w:firstLine="420" w:firstLineChars="200"/>
              <w:rPr>
                <w:rFonts w:hint="eastAsia" w:ascii="仿宋_GB2312" w:hAnsi="宋体" w:eastAsia="仿宋_GB2312" w:cs="宋体"/>
                <w:color w:val="000000" w:themeColor="text1"/>
                <w:kern w:val="0"/>
                <w:sz w:val="21"/>
                <w:szCs w:val="21"/>
                <w:u w:val="none"/>
                <w14:textFill>
                  <w14:solidFill>
                    <w14:schemeClr w14:val="tx1"/>
                  </w14:solidFill>
                </w14:textFill>
              </w:rPr>
            </w:pPr>
          </w:p>
        </w:tc>
        <w:tc>
          <w:tcPr>
            <w:tcW w:w="3435" w:type="dxa"/>
            <w:noWrap w:val="0"/>
            <w:vAlign w:val="center"/>
          </w:tcPr>
          <w:p>
            <w:pPr>
              <w:widowControl/>
              <w:rPr>
                <w:rFonts w:hint="eastAsia" w:ascii="仿宋_GB2312" w:hAnsi="宋体" w:eastAsia="仿宋_GB2312" w:cs="宋体"/>
                <w:color w:val="000000" w:themeColor="text1"/>
                <w:kern w:val="0"/>
                <w:sz w:val="21"/>
                <w:szCs w:val="21"/>
                <w:u w:val="none"/>
                <w14:textFill>
                  <w14:solidFill>
                    <w14:schemeClr w14:val="tx1"/>
                  </w14:solidFill>
                </w14:textFill>
              </w:rPr>
            </w:pPr>
            <w:r>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t>河南省重点学科培育学科</w:t>
            </w:r>
          </w:p>
        </w:tc>
        <w:tc>
          <w:tcPr>
            <w:tcW w:w="1070" w:type="dxa"/>
            <w:noWrap w:val="0"/>
            <w:vAlign w:val="center"/>
          </w:tcPr>
          <w:p>
            <w:pPr>
              <w:widowControl/>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pPr>
            <w:r>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t>1</w:t>
            </w:r>
          </w:p>
        </w:tc>
        <w:tc>
          <w:tcPr>
            <w:tcW w:w="1568" w:type="dxa"/>
            <w:noWrap w:val="0"/>
            <w:vAlign w:val="center"/>
          </w:tcPr>
          <w:p>
            <w:pPr>
              <w:widowControl/>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pPr>
            <w:r>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t>3</w:t>
            </w:r>
          </w:p>
        </w:tc>
      </w:tr>
      <w:tr>
        <w:tblPrEx>
          <w:tblBorders>
            <w:top w:val="single" w:color="333333" w:sz="4" w:space="0"/>
            <w:left w:val="single" w:color="333333" w:sz="4" w:space="0"/>
            <w:bottom w:val="single" w:color="333333" w:sz="4" w:space="0"/>
            <w:right w:val="single" w:color="333333" w:sz="4" w:space="0"/>
            <w:insideH w:val="single" w:color="333333" w:sz="4" w:space="0"/>
            <w:insideV w:val="single" w:color="333333" w:sz="4" w:space="0"/>
          </w:tblBorders>
          <w:tblCellMar>
            <w:top w:w="0" w:type="dxa"/>
            <w:left w:w="108" w:type="dxa"/>
            <w:bottom w:w="0" w:type="dxa"/>
            <w:right w:w="108" w:type="dxa"/>
          </w:tblCellMar>
        </w:tblPrEx>
        <w:trPr>
          <w:trHeight w:val="284" w:hRule="exact"/>
          <w:jc w:val="center"/>
        </w:trPr>
        <w:tc>
          <w:tcPr>
            <w:tcW w:w="469" w:type="dxa"/>
            <w:vMerge w:val="continue"/>
            <w:noWrap w:val="0"/>
            <w:vAlign w:val="center"/>
          </w:tcPr>
          <w:p>
            <w:pPr>
              <w:widowControl/>
              <w:ind w:firstLine="420" w:firstLineChars="200"/>
              <w:rPr>
                <w:rFonts w:hint="eastAsia" w:ascii="仿宋_GB2312" w:hAnsi="宋体" w:eastAsia="仿宋_GB2312" w:cs="宋体"/>
                <w:color w:val="000000" w:themeColor="text1"/>
                <w:kern w:val="0"/>
                <w:sz w:val="21"/>
                <w:szCs w:val="21"/>
                <w:u w:val="none"/>
                <w14:textFill>
                  <w14:solidFill>
                    <w14:schemeClr w14:val="tx1"/>
                  </w14:solidFill>
                </w14:textFill>
              </w:rPr>
            </w:pPr>
          </w:p>
        </w:tc>
        <w:tc>
          <w:tcPr>
            <w:tcW w:w="3180" w:type="dxa"/>
            <w:gridSpan w:val="2"/>
            <w:vMerge w:val="continue"/>
            <w:noWrap w:val="0"/>
            <w:vAlign w:val="center"/>
          </w:tcPr>
          <w:p>
            <w:pPr>
              <w:widowControl/>
              <w:ind w:firstLine="420" w:firstLineChars="200"/>
              <w:rPr>
                <w:rFonts w:hint="eastAsia" w:ascii="仿宋_GB2312" w:hAnsi="宋体" w:eastAsia="仿宋_GB2312" w:cs="宋体"/>
                <w:color w:val="000000" w:themeColor="text1"/>
                <w:kern w:val="0"/>
                <w:sz w:val="21"/>
                <w:szCs w:val="21"/>
                <w:u w:val="none"/>
                <w14:textFill>
                  <w14:solidFill>
                    <w14:schemeClr w14:val="tx1"/>
                  </w14:solidFill>
                </w14:textFill>
              </w:rPr>
            </w:pPr>
          </w:p>
        </w:tc>
        <w:tc>
          <w:tcPr>
            <w:tcW w:w="3435" w:type="dxa"/>
            <w:noWrap w:val="0"/>
            <w:vAlign w:val="center"/>
          </w:tcPr>
          <w:p>
            <w:pPr>
              <w:widowControl/>
              <w:rPr>
                <w:rFonts w:hint="eastAsia" w:ascii="仿宋_GB2312" w:hAnsi="宋体" w:eastAsia="仿宋_GB2312" w:cs="宋体"/>
                <w:color w:val="000000" w:themeColor="text1"/>
                <w:kern w:val="0"/>
                <w:sz w:val="21"/>
                <w:szCs w:val="21"/>
                <w:u w:val="none"/>
                <w14:textFill>
                  <w14:solidFill>
                    <w14:schemeClr w14:val="tx1"/>
                  </w14:solidFill>
                </w14:textFill>
              </w:rPr>
            </w:pPr>
            <w:r>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t>省级一流本科</w:t>
            </w:r>
            <w:r>
              <w:rPr>
                <w:rFonts w:hint="eastAsia" w:ascii="仿宋_GB2312" w:hAnsi="宋体" w:eastAsia="仿宋_GB2312" w:cs="宋体"/>
                <w:color w:val="000000" w:themeColor="text1"/>
                <w:kern w:val="0"/>
                <w:sz w:val="21"/>
                <w:szCs w:val="21"/>
                <w:highlight w:val="none"/>
                <w:u w:val="none"/>
                <w:lang w:val="en-US" w:eastAsia="zh-CN"/>
                <w14:textFill>
                  <w14:solidFill>
                    <w14:schemeClr w14:val="tx1"/>
                  </w14:solidFill>
                </w14:textFill>
              </w:rPr>
              <w:t>专业</w:t>
            </w:r>
            <w:r>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t>建设点</w:t>
            </w:r>
          </w:p>
        </w:tc>
        <w:tc>
          <w:tcPr>
            <w:tcW w:w="1070" w:type="dxa"/>
            <w:noWrap w:val="0"/>
            <w:vAlign w:val="center"/>
          </w:tcPr>
          <w:p>
            <w:pPr>
              <w:widowControl/>
              <w:rPr>
                <w:rFonts w:hint="default" w:ascii="仿宋_GB2312" w:hAnsi="宋体" w:eastAsia="仿宋_GB2312" w:cs="宋体"/>
                <w:color w:val="000000" w:themeColor="text1"/>
                <w:kern w:val="0"/>
                <w:sz w:val="21"/>
                <w:szCs w:val="21"/>
                <w:u w:val="none"/>
                <w:lang w:val="en-US" w:eastAsia="zh-CN"/>
                <w14:textFill>
                  <w14:solidFill>
                    <w14:schemeClr w14:val="tx1"/>
                  </w14:solidFill>
                </w14:textFill>
              </w:rPr>
            </w:pPr>
            <w:r>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t>4</w:t>
            </w:r>
          </w:p>
        </w:tc>
        <w:tc>
          <w:tcPr>
            <w:tcW w:w="1568" w:type="dxa"/>
            <w:noWrap w:val="0"/>
            <w:vAlign w:val="center"/>
          </w:tcPr>
          <w:p>
            <w:pPr>
              <w:widowControl/>
              <w:rPr>
                <w:rFonts w:hint="default" w:ascii="仿宋_GB2312" w:hAnsi="宋体" w:eastAsia="仿宋_GB2312" w:cs="宋体"/>
                <w:color w:val="000000" w:themeColor="text1"/>
                <w:kern w:val="0"/>
                <w:sz w:val="21"/>
                <w:szCs w:val="21"/>
                <w:u w:val="none"/>
                <w:lang w:val="en-US" w:eastAsia="zh-CN"/>
                <w14:textFill>
                  <w14:solidFill>
                    <w14:schemeClr w14:val="tx1"/>
                  </w14:solidFill>
                </w14:textFill>
              </w:rPr>
            </w:pPr>
            <w:r>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t>10</w:t>
            </w:r>
          </w:p>
        </w:tc>
      </w:tr>
      <w:tr>
        <w:tblPrEx>
          <w:tblBorders>
            <w:top w:val="single" w:color="333333" w:sz="4" w:space="0"/>
            <w:left w:val="single" w:color="333333" w:sz="4" w:space="0"/>
            <w:bottom w:val="single" w:color="333333" w:sz="4" w:space="0"/>
            <w:right w:val="single" w:color="333333" w:sz="4" w:space="0"/>
            <w:insideH w:val="single" w:color="333333" w:sz="4" w:space="0"/>
            <w:insideV w:val="single" w:color="333333" w:sz="4" w:space="0"/>
          </w:tblBorders>
          <w:tblCellMar>
            <w:top w:w="0" w:type="dxa"/>
            <w:left w:w="108" w:type="dxa"/>
            <w:bottom w:w="0" w:type="dxa"/>
            <w:right w:w="108" w:type="dxa"/>
          </w:tblCellMar>
        </w:tblPrEx>
        <w:trPr>
          <w:trHeight w:val="284" w:hRule="exact"/>
          <w:jc w:val="center"/>
        </w:trPr>
        <w:tc>
          <w:tcPr>
            <w:tcW w:w="469" w:type="dxa"/>
            <w:vMerge w:val="continue"/>
            <w:noWrap w:val="0"/>
            <w:vAlign w:val="center"/>
          </w:tcPr>
          <w:p>
            <w:pPr>
              <w:widowControl/>
              <w:ind w:firstLine="420" w:firstLineChars="200"/>
              <w:rPr>
                <w:rFonts w:hint="eastAsia" w:ascii="仿宋_GB2312" w:hAnsi="宋体" w:eastAsia="仿宋_GB2312" w:cs="宋体"/>
                <w:color w:val="000000" w:themeColor="text1"/>
                <w:kern w:val="0"/>
                <w:sz w:val="21"/>
                <w:szCs w:val="21"/>
                <w:u w:val="none"/>
                <w14:textFill>
                  <w14:solidFill>
                    <w14:schemeClr w14:val="tx1"/>
                  </w14:solidFill>
                </w14:textFill>
              </w:rPr>
            </w:pPr>
          </w:p>
        </w:tc>
        <w:tc>
          <w:tcPr>
            <w:tcW w:w="3180" w:type="dxa"/>
            <w:gridSpan w:val="2"/>
            <w:vMerge w:val="continue"/>
            <w:noWrap w:val="0"/>
            <w:vAlign w:val="center"/>
          </w:tcPr>
          <w:p>
            <w:pPr>
              <w:widowControl/>
              <w:ind w:firstLine="420" w:firstLineChars="200"/>
              <w:rPr>
                <w:rFonts w:hint="eastAsia" w:ascii="仿宋_GB2312" w:hAnsi="宋体" w:eastAsia="仿宋_GB2312" w:cs="宋体"/>
                <w:color w:val="000000" w:themeColor="text1"/>
                <w:kern w:val="0"/>
                <w:sz w:val="21"/>
                <w:szCs w:val="21"/>
                <w:u w:val="none"/>
                <w14:textFill>
                  <w14:solidFill>
                    <w14:schemeClr w14:val="tx1"/>
                  </w14:solidFill>
                </w14:textFill>
              </w:rPr>
            </w:pPr>
          </w:p>
        </w:tc>
        <w:tc>
          <w:tcPr>
            <w:tcW w:w="3435" w:type="dxa"/>
            <w:noWrap w:val="0"/>
            <w:vAlign w:val="center"/>
          </w:tcPr>
          <w:p>
            <w:pPr>
              <w:widowControl/>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pPr>
            <w:r>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t>国家级一流本科专业建设点</w:t>
            </w:r>
          </w:p>
        </w:tc>
        <w:tc>
          <w:tcPr>
            <w:tcW w:w="1070" w:type="dxa"/>
            <w:noWrap w:val="0"/>
            <w:vAlign w:val="center"/>
          </w:tcPr>
          <w:p>
            <w:pPr>
              <w:widowControl/>
              <w:rPr>
                <w:rFonts w:hint="default" w:ascii="仿宋_GB2312" w:hAnsi="宋体" w:eastAsia="仿宋_GB2312" w:cs="宋体"/>
                <w:color w:val="000000" w:themeColor="text1"/>
                <w:kern w:val="0"/>
                <w:sz w:val="21"/>
                <w:szCs w:val="21"/>
                <w:u w:val="none"/>
                <w:lang w:val="en-US" w:eastAsia="zh-CN"/>
                <w14:textFill>
                  <w14:solidFill>
                    <w14:schemeClr w14:val="tx1"/>
                  </w14:solidFill>
                </w14:textFill>
              </w:rPr>
            </w:pPr>
            <w:r>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t>0</w:t>
            </w:r>
          </w:p>
        </w:tc>
        <w:tc>
          <w:tcPr>
            <w:tcW w:w="1568" w:type="dxa"/>
            <w:noWrap w:val="0"/>
            <w:vAlign w:val="center"/>
          </w:tcPr>
          <w:p>
            <w:pPr>
              <w:widowControl/>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pPr>
            <w:r>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t>力争取得突破</w:t>
            </w:r>
          </w:p>
        </w:tc>
      </w:tr>
      <w:tr>
        <w:tblPrEx>
          <w:tblBorders>
            <w:top w:val="single" w:color="333333" w:sz="4" w:space="0"/>
            <w:left w:val="single" w:color="333333" w:sz="4" w:space="0"/>
            <w:bottom w:val="single" w:color="333333" w:sz="4" w:space="0"/>
            <w:right w:val="single" w:color="333333" w:sz="4" w:space="0"/>
            <w:insideH w:val="single" w:color="333333" w:sz="4" w:space="0"/>
            <w:insideV w:val="single" w:color="333333" w:sz="4" w:space="0"/>
          </w:tblBorders>
          <w:tblCellMar>
            <w:top w:w="0" w:type="dxa"/>
            <w:left w:w="108" w:type="dxa"/>
            <w:bottom w:w="0" w:type="dxa"/>
            <w:right w:w="108" w:type="dxa"/>
          </w:tblCellMar>
        </w:tblPrEx>
        <w:trPr>
          <w:trHeight w:val="359" w:hRule="exact"/>
          <w:jc w:val="center"/>
        </w:trPr>
        <w:tc>
          <w:tcPr>
            <w:tcW w:w="469" w:type="dxa"/>
            <w:vMerge w:val="continue"/>
            <w:noWrap w:val="0"/>
            <w:vAlign w:val="center"/>
          </w:tcPr>
          <w:p>
            <w:pPr>
              <w:widowControl/>
              <w:ind w:firstLine="420" w:firstLineChars="200"/>
              <w:rPr>
                <w:rFonts w:hint="eastAsia" w:ascii="仿宋_GB2312" w:hAnsi="宋体" w:eastAsia="仿宋_GB2312" w:cs="宋体"/>
                <w:color w:val="000000" w:themeColor="text1"/>
                <w:kern w:val="0"/>
                <w:sz w:val="21"/>
                <w:szCs w:val="21"/>
                <w:u w:val="none"/>
                <w14:textFill>
                  <w14:solidFill>
                    <w14:schemeClr w14:val="tx1"/>
                  </w14:solidFill>
                </w14:textFill>
              </w:rPr>
            </w:pPr>
          </w:p>
        </w:tc>
        <w:tc>
          <w:tcPr>
            <w:tcW w:w="3180" w:type="dxa"/>
            <w:gridSpan w:val="2"/>
            <w:noWrap w:val="0"/>
            <w:vAlign w:val="center"/>
          </w:tcPr>
          <w:p>
            <w:pPr>
              <w:widowControl/>
              <w:rPr>
                <w:rFonts w:hint="eastAsia" w:ascii="仿宋_GB2312" w:hAnsi="宋体" w:eastAsia="仿宋_GB2312" w:cs="宋体"/>
                <w:color w:val="000000" w:themeColor="text1"/>
                <w:kern w:val="0"/>
                <w:sz w:val="21"/>
                <w:szCs w:val="21"/>
                <w:u w:val="none"/>
                <w:lang w:eastAsia="zh-CN"/>
                <w14:textFill>
                  <w14:solidFill>
                    <w14:schemeClr w14:val="tx1"/>
                  </w14:solidFill>
                </w14:textFill>
              </w:rPr>
            </w:pPr>
            <w:r>
              <w:rPr>
                <w:rFonts w:hint="eastAsia" w:ascii="仿宋_GB2312" w:hAnsi="宋体" w:eastAsia="仿宋_GB2312" w:cs="宋体"/>
                <w:color w:val="000000" w:themeColor="text1"/>
                <w:kern w:val="0"/>
                <w:sz w:val="21"/>
                <w:szCs w:val="21"/>
                <w:u w:val="none"/>
                <w:lang w:eastAsia="zh-CN"/>
                <w14:textFill>
                  <w14:solidFill>
                    <w14:schemeClr w14:val="tx1"/>
                  </w14:solidFill>
                </w14:textFill>
              </w:rPr>
              <w:t>学位点建设（个）</w:t>
            </w:r>
          </w:p>
        </w:tc>
        <w:tc>
          <w:tcPr>
            <w:tcW w:w="3435" w:type="dxa"/>
            <w:noWrap w:val="0"/>
            <w:vAlign w:val="center"/>
          </w:tcPr>
          <w:p>
            <w:pPr>
              <w:widowControl/>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pPr>
            <w:r>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t>硕士学位点建设专业</w:t>
            </w:r>
          </w:p>
        </w:tc>
        <w:tc>
          <w:tcPr>
            <w:tcW w:w="1070" w:type="dxa"/>
            <w:noWrap w:val="0"/>
            <w:vAlign w:val="center"/>
          </w:tcPr>
          <w:p>
            <w:pPr>
              <w:widowControl/>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pPr>
            <w:r>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t>0</w:t>
            </w:r>
          </w:p>
        </w:tc>
        <w:tc>
          <w:tcPr>
            <w:tcW w:w="1568" w:type="dxa"/>
            <w:noWrap w:val="0"/>
            <w:vAlign w:val="center"/>
          </w:tcPr>
          <w:p>
            <w:pPr>
              <w:widowControl/>
              <w:rPr>
                <w:rFonts w:hint="eastAsia" w:ascii="仿宋_GB2312" w:hAnsi="宋体" w:eastAsia="仿宋_GB2312" w:cs="宋体"/>
                <w:color w:val="000000" w:themeColor="text1"/>
                <w:kern w:val="0"/>
                <w:sz w:val="21"/>
                <w:szCs w:val="21"/>
                <w:u w:val="none"/>
                <w:lang w:eastAsia="zh-CN"/>
                <w14:textFill>
                  <w14:solidFill>
                    <w14:schemeClr w14:val="tx1"/>
                  </w14:solidFill>
                </w14:textFill>
              </w:rPr>
            </w:pPr>
            <w:r>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t>力争取得突破</w:t>
            </w:r>
          </w:p>
        </w:tc>
      </w:tr>
      <w:tr>
        <w:tblPrEx>
          <w:tblBorders>
            <w:top w:val="single" w:color="333333" w:sz="4" w:space="0"/>
            <w:left w:val="single" w:color="333333" w:sz="4" w:space="0"/>
            <w:bottom w:val="single" w:color="333333" w:sz="4" w:space="0"/>
            <w:right w:val="single" w:color="333333" w:sz="4" w:space="0"/>
            <w:insideH w:val="single" w:color="333333" w:sz="4" w:space="0"/>
            <w:insideV w:val="single" w:color="333333" w:sz="4" w:space="0"/>
          </w:tblBorders>
          <w:tblCellMar>
            <w:top w:w="0" w:type="dxa"/>
            <w:left w:w="108" w:type="dxa"/>
            <w:bottom w:w="0" w:type="dxa"/>
            <w:right w:w="108" w:type="dxa"/>
          </w:tblCellMar>
        </w:tblPrEx>
        <w:trPr>
          <w:trHeight w:val="467" w:hRule="exact"/>
          <w:jc w:val="center"/>
        </w:trPr>
        <w:tc>
          <w:tcPr>
            <w:tcW w:w="469" w:type="dxa"/>
            <w:vMerge w:val="continue"/>
            <w:noWrap w:val="0"/>
            <w:vAlign w:val="center"/>
          </w:tcPr>
          <w:p>
            <w:pPr>
              <w:widowControl/>
              <w:ind w:firstLine="420" w:firstLineChars="200"/>
              <w:rPr>
                <w:rFonts w:hint="eastAsia" w:ascii="仿宋_GB2312" w:hAnsi="宋体" w:eastAsia="仿宋_GB2312" w:cs="宋体"/>
                <w:color w:val="000000" w:themeColor="text1"/>
                <w:kern w:val="0"/>
                <w:sz w:val="21"/>
                <w:szCs w:val="21"/>
                <w:u w:val="none"/>
                <w14:textFill>
                  <w14:solidFill>
                    <w14:schemeClr w14:val="tx1"/>
                  </w14:solidFill>
                </w14:textFill>
              </w:rPr>
            </w:pPr>
          </w:p>
        </w:tc>
        <w:tc>
          <w:tcPr>
            <w:tcW w:w="3180" w:type="dxa"/>
            <w:gridSpan w:val="2"/>
            <w:noWrap w:val="0"/>
            <w:vAlign w:val="center"/>
          </w:tcPr>
          <w:p>
            <w:pPr>
              <w:widowControl/>
              <w:spacing w:line="240" w:lineRule="exact"/>
              <w:rPr>
                <w:rFonts w:hint="eastAsia" w:ascii="仿宋_GB2312" w:hAnsi="宋体" w:eastAsia="仿宋_GB2312" w:cs="宋体"/>
                <w:color w:val="000000" w:themeColor="text1"/>
                <w:kern w:val="0"/>
                <w:sz w:val="21"/>
                <w:szCs w:val="21"/>
                <w:u w:val="none"/>
                <w:lang w:eastAsia="zh-CN"/>
                <w14:textFill>
                  <w14:solidFill>
                    <w14:schemeClr w14:val="tx1"/>
                  </w14:solidFill>
                </w14:textFill>
              </w:rPr>
            </w:pPr>
            <w:r>
              <w:rPr>
                <w:rFonts w:hint="eastAsia" w:ascii="仿宋_GB2312" w:hAnsi="宋体" w:eastAsia="仿宋_GB2312" w:cs="宋体"/>
                <w:color w:val="000000" w:themeColor="text1"/>
                <w:kern w:val="0"/>
                <w:sz w:val="21"/>
                <w:szCs w:val="21"/>
                <w:u w:val="none"/>
                <w:lang w:eastAsia="zh-CN"/>
                <w14:textFill>
                  <w14:solidFill>
                    <w14:schemeClr w14:val="tx1"/>
                  </w14:solidFill>
                </w14:textFill>
              </w:rPr>
              <w:t>省级农林虚拟仿真实验教学项目（项）</w:t>
            </w:r>
          </w:p>
        </w:tc>
        <w:tc>
          <w:tcPr>
            <w:tcW w:w="3435" w:type="dxa"/>
            <w:noWrap w:val="0"/>
            <w:vAlign w:val="center"/>
          </w:tcPr>
          <w:p>
            <w:pPr>
              <w:widowControl/>
              <w:rPr>
                <w:rFonts w:hint="eastAsia" w:ascii="仿宋_GB2312" w:hAnsi="宋体" w:eastAsia="仿宋_GB2312" w:cs="宋体"/>
                <w:color w:val="000000" w:themeColor="text1"/>
                <w:kern w:val="0"/>
                <w:sz w:val="21"/>
                <w:szCs w:val="21"/>
                <w:u w:val="none"/>
                <w14:textFill>
                  <w14:solidFill>
                    <w14:schemeClr w14:val="tx1"/>
                  </w14:solidFill>
                </w14:textFill>
              </w:rPr>
            </w:pPr>
            <w:r>
              <w:rPr>
                <w:rFonts w:hint="eastAsia" w:ascii="仿宋_GB2312" w:hAnsi="宋体" w:eastAsia="仿宋_GB2312" w:cs="宋体"/>
                <w:color w:val="000000" w:themeColor="text1"/>
                <w:kern w:val="0"/>
                <w:sz w:val="21"/>
                <w:szCs w:val="21"/>
                <w:u w:val="none"/>
                <w14:textFill>
                  <w14:solidFill>
                    <w14:schemeClr w14:val="tx1"/>
                  </w14:solidFill>
                </w14:textFill>
              </w:rPr>
              <w:t>省级</w:t>
            </w:r>
          </w:p>
        </w:tc>
        <w:tc>
          <w:tcPr>
            <w:tcW w:w="1070" w:type="dxa"/>
            <w:noWrap w:val="0"/>
            <w:vAlign w:val="center"/>
          </w:tcPr>
          <w:p>
            <w:pPr>
              <w:widowControl/>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pPr>
            <w:r>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t>1</w:t>
            </w:r>
          </w:p>
        </w:tc>
        <w:tc>
          <w:tcPr>
            <w:tcW w:w="1568" w:type="dxa"/>
            <w:noWrap w:val="0"/>
            <w:vAlign w:val="center"/>
          </w:tcPr>
          <w:p>
            <w:pPr>
              <w:widowControl/>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pPr>
            <w:r>
              <w:rPr>
                <w:rFonts w:hint="eastAsia" w:ascii="宋体" w:hAnsi="宋体" w:eastAsia="宋体" w:cs="宋体"/>
                <w:color w:val="000000" w:themeColor="text1"/>
                <w:kern w:val="0"/>
                <w:sz w:val="20"/>
                <w:szCs w:val="20"/>
                <w:u w:val="none"/>
                <w:lang w:val="en-US" w:eastAsia="zh-CN" w:bidi="ar"/>
                <w14:textFill>
                  <w14:solidFill>
                    <w14:schemeClr w14:val="tx1"/>
                  </w14:solidFill>
                </w14:textFill>
              </w:rPr>
              <w:t>★</w:t>
            </w:r>
            <w:r>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t>2</w:t>
            </w:r>
          </w:p>
        </w:tc>
      </w:tr>
      <w:tr>
        <w:tblPrEx>
          <w:tblBorders>
            <w:top w:val="single" w:color="333333" w:sz="4" w:space="0"/>
            <w:left w:val="single" w:color="333333" w:sz="4" w:space="0"/>
            <w:bottom w:val="single" w:color="333333" w:sz="4" w:space="0"/>
            <w:right w:val="single" w:color="333333" w:sz="4" w:space="0"/>
            <w:insideH w:val="single" w:color="333333" w:sz="4" w:space="0"/>
            <w:insideV w:val="single" w:color="333333" w:sz="4" w:space="0"/>
          </w:tblBorders>
          <w:tblCellMar>
            <w:top w:w="0" w:type="dxa"/>
            <w:left w:w="108" w:type="dxa"/>
            <w:bottom w:w="0" w:type="dxa"/>
            <w:right w:w="108" w:type="dxa"/>
          </w:tblCellMar>
        </w:tblPrEx>
        <w:trPr>
          <w:trHeight w:val="284" w:hRule="exact"/>
          <w:jc w:val="center"/>
        </w:trPr>
        <w:tc>
          <w:tcPr>
            <w:tcW w:w="469" w:type="dxa"/>
            <w:vMerge w:val="continue"/>
            <w:noWrap w:val="0"/>
            <w:vAlign w:val="center"/>
          </w:tcPr>
          <w:p>
            <w:pPr>
              <w:widowControl/>
              <w:ind w:firstLine="420" w:firstLineChars="200"/>
              <w:rPr>
                <w:rFonts w:hint="eastAsia" w:ascii="仿宋_GB2312" w:hAnsi="宋体" w:eastAsia="仿宋_GB2312" w:cs="宋体"/>
                <w:color w:val="000000" w:themeColor="text1"/>
                <w:kern w:val="0"/>
                <w:sz w:val="21"/>
                <w:szCs w:val="21"/>
                <w:u w:val="none"/>
                <w14:textFill>
                  <w14:solidFill>
                    <w14:schemeClr w14:val="tx1"/>
                  </w14:solidFill>
                </w14:textFill>
              </w:rPr>
            </w:pPr>
          </w:p>
        </w:tc>
        <w:tc>
          <w:tcPr>
            <w:tcW w:w="3180" w:type="dxa"/>
            <w:gridSpan w:val="2"/>
            <w:vMerge w:val="restart"/>
            <w:noWrap w:val="0"/>
            <w:vAlign w:val="center"/>
          </w:tcPr>
          <w:p>
            <w:pPr>
              <w:widowControl/>
              <w:spacing w:line="240" w:lineRule="exact"/>
              <w:rPr>
                <w:rFonts w:hint="eastAsia" w:ascii="仿宋_GB2312" w:hAnsi="宋体" w:eastAsia="仿宋_GB2312" w:cs="宋体"/>
                <w:color w:val="000000" w:themeColor="text1"/>
                <w:kern w:val="0"/>
                <w:sz w:val="21"/>
                <w:szCs w:val="21"/>
                <w:u w:val="none"/>
                <w:lang w:eastAsia="zh-CN"/>
                <w14:textFill>
                  <w14:solidFill>
                    <w14:schemeClr w14:val="tx1"/>
                  </w14:solidFill>
                </w14:textFill>
              </w:rPr>
            </w:pPr>
            <w:r>
              <w:rPr>
                <w:rFonts w:hint="eastAsia" w:ascii="仿宋_GB2312" w:hAnsi="宋体" w:eastAsia="仿宋_GB2312" w:cs="宋体"/>
                <w:color w:val="000000" w:themeColor="text1"/>
                <w:kern w:val="0"/>
                <w:sz w:val="21"/>
                <w:szCs w:val="21"/>
                <w:u w:val="none"/>
                <w:lang w:eastAsia="zh-CN"/>
                <w14:textFill>
                  <w14:solidFill>
                    <w14:schemeClr w14:val="tx1"/>
                  </w14:solidFill>
                </w14:textFill>
              </w:rPr>
              <w:t>农林线上线下精品课程（个）</w:t>
            </w:r>
          </w:p>
        </w:tc>
        <w:tc>
          <w:tcPr>
            <w:tcW w:w="3435" w:type="dxa"/>
            <w:tcBorders>
              <w:top w:val="single" w:color="auto" w:sz="4" w:space="0"/>
              <w:bottom w:val="single" w:color="auto" w:sz="4" w:space="0"/>
            </w:tcBorders>
            <w:noWrap w:val="0"/>
            <w:vAlign w:val="center"/>
          </w:tcPr>
          <w:p>
            <w:pPr>
              <w:widowControl/>
              <w:rPr>
                <w:rFonts w:hint="eastAsia" w:ascii="仿宋_GB2312" w:hAnsi="宋体" w:eastAsia="仿宋_GB2312" w:cs="宋体"/>
                <w:color w:val="000000" w:themeColor="text1"/>
                <w:kern w:val="0"/>
                <w:sz w:val="21"/>
                <w:szCs w:val="21"/>
                <w:u w:val="none"/>
                <w:lang w:eastAsia="zh-CN"/>
                <w14:textFill>
                  <w14:solidFill>
                    <w14:schemeClr w14:val="tx1"/>
                  </w14:solidFill>
                </w14:textFill>
              </w:rPr>
            </w:pPr>
            <w:r>
              <w:rPr>
                <w:rFonts w:hint="eastAsia" w:ascii="仿宋_GB2312" w:hAnsi="宋体" w:eastAsia="仿宋_GB2312" w:cs="宋体"/>
                <w:color w:val="000000" w:themeColor="text1"/>
                <w:kern w:val="0"/>
                <w:sz w:val="21"/>
                <w:szCs w:val="21"/>
                <w:u w:val="none"/>
                <w:lang w:eastAsia="zh-CN"/>
                <w14:textFill>
                  <w14:solidFill>
                    <w14:schemeClr w14:val="tx1"/>
                  </w14:solidFill>
                </w14:textFill>
              </w:rPr>
              <w:t>国家级</w:t>
            </w:r>
          </w:p>
        </w:tc>
        <w:tc>
          <w:tcPr>
            <w:tcW w:w="1070" w:type="dxa"/>
            <w:tcBorders>
              <w:top w:val="single" w:color="auto" w:sz="4" w:space="0"/>
              <w:bottom w:val="single" w:color="auto" w:sz="4" w:space="0"/>
            </w:tcBorders>
            <w:noWrap w:val="0"/>
            <w:vAlign w:val="center"/>
          </w:tcPr>
          <w:p>
            <w:pPr>
              <w:widowControl/>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pPr>
            <w:r>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t>0</w:t>
            </w:r>
          </w:p>
        </w:tc>
        <w:tc>
          <w:tcPr>
            <w:tcW w:w="1568" w:type="dxa"/>
            <w:tcBorders>
              <w:top w:val="single" w:color="auto" w:sz="4" w:space="0"/>
              <w:bottom w:val="single" w:color="auto" w:sz="4" w:space="0"/>
            </w:tcBorders>
            <w:noWrap w:val="0"/>
            <w:vAlign w:val="center"/>
          </w:tcPr>
          <w:p>
            <w:pPr>
              <w:widowControl/>
              <w:rPr>
                <w:rFonts w:hint="eastAsia" w:ascii="仿宋_GB2312" w:hAnsi="宋体" w:eastAsia="仿宋_GB2312" w:cs="宋体"/>
                <w:color w:val="000000" w:themeColor="text1"/>
                <w:kern w:val="0"/>
                <w:sz w:val="21"/>
                <w:szCs w:val="21"/>
                <w:u w:val="none"/>
                <w14:textFill>
                  <w14:solidFill>
                    <w14:schemeClr w14:val="tx1"/>
                  </w14:solidFill>
                </w14:textFill>
              </w:rPr>
            </w:pPr>
            <w:r>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t>力争取得突破</w:t>
            </w:r>
          </w:p>
        </w:tc>
      </w:tr>
      <w:tr>
        <w:tblPrEx>
          <w:tblBorders>
            <w:top w:val="single" w:color="333333" w:sz="4" w:space="0"/>
            <w:left w:val="single" w:color="333333" w:sz="4" w:space="0"/>
            <w:bottom w:val="single" w:color="333333" w:sz="4" w:space="0"/>
            <w:right w:val="single" w:color="333333" w:sz="4" w:space="0"/>
            <w:insideH w:val="single" w:color="333333" w:sz="4" w:space="0"/>
            <w:insideV w:val="single" w:color="333333" w:sz="4" w:space="0"/>
          </w:tblBorders>
          <w:tblCellMar>
            <w:top w:w="0" w:type="dxa"/>
            <w:left w:w="108" w:type="dxa"/>
            <w:bottom w:w="0" w:type="dxa"/>
            <w:right w:w="108" w:type="dxa"/>
          </w:tblCellMar>
        </w:tblPrEx>
        <w:trPr>
          <w:trHeight w:val="284" w:hRule="exact"/>
          <w:jc w:val="center"/>
        </w:trPr>
        <w:tc>
          <w:tcPr>
            <w:tcW w:w="469" w:type="dxa"/>
            <w:vMerge w:val="continue"/>
            <w:noWrap w:val="0"/>
            <w:vAlign w:val="center"/>
          </w:tcPr>
          <w:p>
            <w:pPr>
              <w:widowControl/>
              <w:ind w:firstLine="420" w:firstLineChars="200"/>
              <w:rPr>
                <w:rFonts w:hint="eastAsia" w:ascii="仿宋_GB2312" w:hAnsi="宋体" w:eastAsia="仿宋_GB2312" w:cs="宋体"/>
                <w:color w:val="000000" w:themeColor="text1"/>
                <w:kern w:val="0"/>
                <w:sz w:val="21"/>
                <w:szCs w:val="21"/>
                <w:u w:val="none"/>
                <w14:textFill>
                  <w14:solidFill>
                    <w14:schemeClr w14:val="tx1"/>
                  </w14:solidFill>
                </w14:textFill>
              </w:rPr>
            </w:pPr>
          </w:p>
        </w:tc>
        <w:tc>
          <w:tcPr>
            <w:tcW w:w="3180" w:type="dxa"/>
            <w:gridSpan w:val="2"/>
            <w:vMerge w:val="continue"/>
            <w:noWrap w:val="0"/>
            <w:vAlign w:val="center"/>
          </w:tcPr>
          <w:p>
            <w:pPr>
              <w:widowControl/>
              <w:ind w:firstLine="420" w:firstLineChars="200"/>
              <w:rPr>
                <w:rFonts w:hint="eastAsia" w:ascii="仿宋_GB2312" w:hAnsi="宋体" w:eastAsia="仿宋_GB2312" w:cs="宋体"/>
                <w:color w:val="000000" w:themeColor="text1"/>
                <w:kern w:val="0"/>
                <w:sz w:val="21"/>
                <w:szCs w:val="21"/>
                <w:u w:val="none"/>
                <w14:textFill>
                  <w14:solidFill>
                    <w14:schemeClr w14:val="tx1"/>
                  </w14:solidFill>
                </w14:textFill>
              </w:rPr>
            </w:pPr>
          </w:p>
        </w:tc>
        <w:tc>
          <w:tcPr>
            <w:tcW w:w="3435" w:type="dxa"/>
            <w:tcBorders>
              <w:top w:val="single" w:color="auto" w:sz="4" w:space="0"/>
              <w:bottom w:val="single" w:color="auto" w:sz="4" w:space="0"/>
            </w:tcBorders>
            <w:noWrap w:val="0"/>
            <w:vAlign w:val="center"/>
          </w:tcPr>
          <w:p>
            <w:pPr>
              <w:widowControl/>
              <w:rPr>
                <w:rFonts w:hint="eastAsia" w:ascii="仿宋_GB2312" w:hAnsi="宋体" w:eastAsia="仿宋_GB2312" w:cs="宋体"/>
                <w:color w:val="000000" w:themeColor="text1"/>
                <w:kern w:val="0"/>
                <w:sz w:val="21"/>
                <w:szCs w:val="21"/>
                <w:u w:val="none"/>
                <w:lang w:eastAsia="zh-CN"/>
                <w14:textFill>
                  <w14:solidFill>
                    <w14:schemeClr w14:val="tx1"/>
                  </w14:solidFill>
                </w14:textFill>
              </w:rPr>
            </w:pPr>
            <w:r>
              <w:rPr>
                <w:rFonts w:hint="eastAsia" w:ascii="仿宋_GB2312" w:hAnsi="宋体" w:eastAsia="仿宋_GB2312" w:cs="宋体"/>
                <w:color w:val="000000" w:themeColor="text1"/>
                <w:kern w:val="0"/>
                <w:sz w:val="21"/>
                <w:szCs w:val="21"/>
                <w:u w:val="none"/>
                <w:lang w:eastAsia="zh-CN"/>
                <w14:textFill>
                  <w14:solidFill>
                    <w14:schemeClr w14:val="tx1"/>
                  </w14:solidFill>
                </w14:textFill>
              </w:rPr>
              <w:t>省级</w:t>
            </w:r>
          </w:p>
        </w:tc>
        <w:tc>
          <w:tcPr>
            <w:tcW w:w="1070" w:type="dxa"/>
            <w:tcBorders>
              <w:top w:val="single" w:color="auto" w:sz="4" w:space="0"/>
              <w:bottom w:val="single" w:color="auto" w:sz="4" w:space="0"/>
            </w:tcBorders>
            <w:noWrap w:val="0"/>
            <w:vAlign w:val="center"/>
          </w:tcPr>
          <w:p>
            <w:pPr>
              <w:widowControl/>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pPr>
            <w:r>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t>4</w:t>
            </w:r>
          </w:p>
        </w:tc>
        <w:tc>
          <w:tcPr>
            <w:tcW w:w="1568" w:type="dxa"/>
            <w:tcBorders>
              <w:top w:val="single" w:color="auto" w:sz="4" w:space="0"/>
              <w:bottom w:val="single" w:color="auto" w:sz="4" w:space="0"/>
            </w:tcBorders>
            <w:noWrap w:val="0"/>
            <w:vAlign w:val="center"/>
          </w:tcPr>
          <w:p>
            <w:pPr>
              <w:widowControl/>
              <w:rPr>
                <w:rFonts w:hint="default" w:ascii="仿宋_GB2312" w:hAnsi="宋体" w:eastAsia="仿宋_GB2312" w:cs="宋体"/>
                <w:color w:val="000000" w:themeColor="text1"/>
                <w:kern w:val="0"/>
                <w:sz w:val="21"/>
                <w:szCs w:val="21"/>
                <w:u w:val="none"/>
                <w:lang w:val="en-US" w:eastAsia="zh-CN"/>
                <w14:textFill>
                  <w14:solidFill>
                    <w14:schemeClr w14:val="tx1"/>
                  </w14:solidFill>
                </w14:textFill>
              </w:rPr>
            </w:pPr>
            <w:r>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t>5-8</w:t>
            </w:r>
          </w:p>
        </w:tc>
      </w:tr>
      <w:tr>
        <w:tblPrEx>
          <w:tblBorders>
            <w:top w:val="single" w:color="333333" w:sz="4" w:space="0"/>
            <w:left w:val="single" w:color="333333" w:sz="4" w:space="0"/>
            <w:bottom w:val="single" w:color="333333" w:sz="4" w:space="0"/>
            <w:right w:val="single" w:color="333333" w:sz="4" w:space="0"/>
            <w:insideH w:val="single" w:color="333333" w:sz="4" w:space="0"/>
            <w:insideV w:val="single" w:color="333333" w:sz="4" w:space="0"/>
          </w:tblBorders>
          <w:tblCellMar>
            <w:top w:w="0" w:type="dxa"/>
            <w:left w:w="108" w:type="dxa"/>
            <w:bottom w:w="0" w:type="dxa"/>
            <w:right w:w="108" w:type="dxa"/>
          </w:tblCellMar>
        </w:tblPrEx>
        <w:trPr>
          <w:trHeight w:val="349" w:hRule="exact"/>
          <w:jc w:val="center"/>
        </w:trPr>
        <w:tc>
          <w:tcPr>
            <w:tcW w:w="469" w:type="dxa"/>
            <w:vMerge w:val="continue"/>
            <w:noWrap w:val="0"/>
            <w:vAlign w:val="center"/>
          </w:tcPr>
          <w:p>
            <w:pPr>
              <w:widowControl/>
              <w:ind w:firstLine="420" w:firstLineChars="200"/>
              <w:rPr>
                <w:rFonts w:hint="eastAsia" w:ascii="仿宋_GB2312" w:hAnsi="宋体" w:eastAsia="仿宋_GB2312" w:cs="宋体"/>
                <w:color w:val="000000" w:themeColor="text1"/>
                <w:kern w:val="0"/>
                <w:sz w:val="21"/>
                <w:szCs w:val="21"/>
                <w:u w:val="none"/>
                <w14:textFill>
                  <w14:solidFill>
                    <w14:schemeClr w14:val="tx1"/>
                  </w14:solidFill>
                </w14:textFill>
              </w:rPr>
            </w:pPr>
          </w:p>
        </w:tc>
        <w:tc>
          <w:tcPr>
            <w:tcW w:w="3180" w:type="dxa"/>
            <w:gridSpan w:val="2"/>
            <w:vMerge w:val="restart"/>
            <w:noWrap w:val="0"/>
            <w:vAlign w:val="center"/>
          </w:tcPr>
          <w:p>
            <w:pPr>
              <w:widowControl/>
              <w:spacing w:line="240" w:lineRule="exact"/>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pPr>
            <w:r>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t>实验教学示范中心（个）</w:t>
            </w:r>
          </w:p>
        </w:tc>
        <w:tc>
          <w:tcPr>
            <w:tcW w:w="3435" w:type="dxa"/>
            <w:tcBorders>
              <w:top w:val="single" w:color="auto" w:sz="4" w:space="0"/>
              <w:bottom w:val="single" w:color="auto" w:sz="4" w:space="0"/>
            </w:tcBorders>
            <w:noWrap w:val="0"/>
            <w:vAlign w:val="center"/>
          </w:tcPr>
          <w:p>
            <w:pPr>
              <w:widowControl/>
              <w:spacing w:line="240" w:lineRule="exact"/>
              <w:rPr>
                <w:rFonts w:hint="eastAsia" w:ascii="仿宋_GB2312" w:hAnsi="宋体" w:eastAsia="仿宋_GB2312" w:cs="宋体"/>
                <w:color w:val="000000" w:themeColor="text1"/>
                <w:kern w:val="0"/>
                <w:sz w:val="21"/>
                <w:szCs w:val="21"/>
                <w:u w:val="none"/>
                <w:lang w:eastAsia="zh-CN"/>
                <w14:textFill>
                  <w14:solidFill>
                    <w14:schemeClr w14:val="tx1"/>
                  </w14:solidFill>
                </w14:textFill>
              </w:rPr>
            </w:pPr>
            <w:r>
              <w:rPr>
                <w:rFonts w:hint="eastAsia" w:ascii="仿宋_GB2312" w:hAnsi="宋体" w:eastAsia="仿宋_GB2312" w:cs="宋体"/>
                <w:color w:val="000000" w:themeColor="text1"/>
                <w:kern w:val="0"/>
                <w:sz w:val="21"/>
                <w:szCs w:val="21"/>
                <w:u w:val="none"/>
                <w:lang w:eastAsia="zh-CN"/>
                <w14:textFill>
                  <w14:solidFill>
                    <w14:schemeClr w14:val="tx1"/>
                  </w14:solidFill>
                </w14:textFill>
              </w:rPr>
              <w:t>国家级</w:t>
            </w:r>
          </w:p>
        </w:tc>
        <w:tc>
          <w:tcPr>
            <w:tcW w:w="1070" w:type="dxa"/>
            <w:tcBorders>
              <w:top w:val="single" w:color="auto" w:sz="4" w:space="0"/>
              <w:bottom w:val="single" w:color="auto" w:sz="4" w:space="0"/>
            </w:tcBorders>
            <w:noWrap w:val="0"/>
            <w:vAlign w:val="center"/>
          </w:tcPr>
          <w:p>
            <w:pPr>
              <w:widowControl/>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pPr>
            <w:r>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t>0</w:t>
            </w:r>
          </w:p>
        </w:tc>
        <w:tc>
          <w:tcPr>
            <w:tcW w:w="1568" w:type="dxa"/>
            <w:tcBorders>
              <w:top w:val="single" w:color="auto" w:sz="4" w:space="0"/>
              <w:bottom w:val="single" w:color="auto" w:sz="4" w:space="0"/>
            </w:tcBorders>
            <w:noWrap w:val="0"/>
            <w:vAlign w:val="center"/>
          </w:tcPr>
          <w:p>
            <w:pPr>
              <w:widowControl/>
              <w:rPr>
                <w:rFonts w:hint="eastAsia" w:ascii="仿宋_GB2312" w:hAnsi="宋体" w:eastAsia="仿宋_GB2312" w:cs="宋体"/>
                <w:color w:val="000000" w:themeColor="text1"/>
                <w:kern w:val="0"/>
                <w:sz w:val="21"/>
                <w:szCs w:val="21"/>
                <w:u w:val="none"/>
                <w14:textFill>
                  <w14:solidFill>
                    <w14:schemeClr w14:val="tx1"/>
                  </w14:solidFill>
                </w14:textFill>
              </w:rPr>
            </w:pPr>
            <w:r>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t>力争取得突破</w:t>
            </w:r>
          </w:p>
        </w:tc>
      </w:tr>
      <w:tr>
        <w:tblPrEx>
          <w:tblBorders>
            <w:top w:val="single" w:color="333333" w:sz="4" w:space="0"/>
            <w:left w:val="single" w:color="333333" w:sz="4" w:space="0"/>
            <w:bottom w:val="single" w:color="333333" w:sz="4" w:space="0"/>
            <w:right w:val="single" w:color="333333" w:sz="4" w:space="0"/>
            <w:insideH w:val="single" w:color="333333" w:sz="4" w:space="0"/>
            <w:insideV w:val="single" w:color="333333" w:sz="4" w:space="0"/>
          </w:tblBorders>
          <w:tblCellMar>
            <w:top w:w="0" w:type="dxa"/>
            <w:left w:w="108" w:type="dxa"/>
            <w:bottom w:w="0" w:type="dxa"/>
            <w:right w:w="108" w:type="dxa"/>
          </w:tblCellMar>
        </w:tblPrEx>
        <w:trPr>
          <w:trHeight w:val="355" w:hRule="exact"/>
          <w:jc w:val="center"/>
        </w:trPr>
        <w:tc>
          <w:tcPr>
            <w:tcW w:w="469" w:type="dxa"/>
            <w:vMerge w:val="continue"/>
            <w:noWrap w:val="0"/>
            <w:vAlign w:val="center"/>
          </w:tcPr>
          <w:p>
            <w:pPr>
              <w:widowControl/>
              <w:ind w:firstLine="420" w:firstLineChars="200"/>
              <w:rPr>
                <w:rFonts w:hint="eastAsia" w:ascii="仿宋_GB2312" w:hAnsi="宋体" w:eastAsia="仿宋_GB2312" w:cs="宋体"/>
                <w:color w:val="000000" w:themeColor="text1"/>
                <w:kern w:val="0"/>
                <w:sz w:val="21"/>
                <w:szCs w:val="21"/>
                <w:u w:val="none"/>
                <w14:textFill>
                  <w14:solidFill>
                    <w14:schemeClr w14:val="tx1"/>
                  </w14:solidFill>
                </w14:textFill>
              </w:rPr>
            </w:pPr>
          </w:p>
        </w:tc>
        <w:tc>
          <w:tcPr>
            <w:tcW w:w="3180" w:type="dxa"/>
            <w:gridSpan w:val="2"/>
            <w:vMerge w:val="continue"/>
            <w:noWrap w:val="0"/>
            <w:vAlign w:val="center"/>
          </w:tcPr>
          <w:p>
            <w:pPr>
              <w:widowControl/>
              <w:spacing w:line="240" w:lineRule="exact"/>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pPr>
          </w:p>
        </w:tc>
        <w:tc>
          <w:tcPr>
            <w:tcW w:w="3435" w:type="dxa"/>
            <w:tcBorders>
              <w:left w:val="single" w:color="auto" w:sz="4" w:space="0"/>
              <w:bottom w:val="single" w:color="auto" w:sz="4" w:space="0"/>
            </w:tcBorders>
            <w:noWrap w:val="0"/>
            <w:vAlign w:val="center"/>
          </w:tcPr>
          <w:p>
            <w:pPr>
              <w:widowControl/>
              <w:spacing w:line="240" w:lineRule="exact"/>
              <w:rPr>
                <w:rFonts w:hint="eastAsia" w:ascii="仿宋_GB2312" w:hAnsi="宋体" w:eastAsia="仿宋_GB2312" w:cs="宋体"/>
                <w:color w:val="000000" w:themeColor="text1"/>
                <w:kern w:val="0"/>
                <w:sz w:val="21"/>
                <w:szCs w:val="21"/>
                <w:u w:val="none"/>
                <w:lang w:eastAsia="zh-CN"/>
                <w14:textFill>
                  <w14:solidFill>
                    <w14:schemeClr w14:val="tx1"/>
                  </w14:solidFill>
                </w14:textFill>
              </w:rPr>
            </w:pPr>
            <w:r>
              <w:rPr>
                <w:rFonts w:hint="eastAsia" w:ascii="仿宋_GB2312" w:hAnsi="宋体" w:eastAsia="仿宋_GB2312" w:cs="宋体"/>
                <w:color w:val="000000" w:themeColor="text1"/>
                <w:kern w:val="0"/>
                <w:sz w:val="21"/>
                <w:szCs w:val="21"/>
                <w:u w:val="none"/>
                <w:lang w:eastAsia="zh-CN"/>
                <w14:textFill>
                  <w14:solidFill>
                    <w14:schemeClr w14:val="tx1"/>
                  </w14:solidFill>
                </w14:textFill>
              </w:rPr>
              <w:t>省级</w:t>
            </w:r>
          </w:p>
        </w:tc>
        <w:tc>
          <w:tcPr>
            <w:tcW w:w="1070" w:type="dxa"/>
            <w:tcBorders>
              <w:top w:val="single" w:color="auto" w:sz="4" w:space="0"/>
              <w:bottom w:val="single" w:color="auto" w:sz="4" w:space="0"/>
            </w:tcBorders>
            <w:noWrap w:val="0"/>
            <w:vAlign w:val="center"/>
          </w:tcPr>
          <w:p>
            <w:pPr>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pPr>
            <w:r>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t>1</w:t>
            </w:r>
          </w:p>
        </w:tc>
        <w:tc>
          <w:tcPr>
            <w:tcW w:w="1568" w:type="dxa"/>
            <w:tcBorders>
              <w:top w:val="single" w:color="auto" w:sz="4" w:space="0"/>
              <w:bottom w:val="single" w:color="auto" w:sz="4" w:space="0"/>
            </w:tcBorders>
            <w:noWrap w:val="0"/>
            <w:vAlign w:val="center"/>
          </w:tcPr>
          <w:p>
            <w:pPr>
              <w:widowControl/>
              <w:rPr>
                <w:rFonts w:hint="default" w:ascii="仿宋_GB2312" w:hAnsi="宋体" w:eastAsia="仿宋_GB2312" w:cs="宋体"/>
                <w:color w:val="000000" w:themeColor="text1"/>
                <w:kern w:val="0"/>
                <w:sz w:val="21"/>
                <w:szCs w:val="21"/>
                <w:u w:val="none"/>
                <w:lang w:val="en-US" w:eastAsia="zh-CN"/>
                <w14:textFill>
                  <w14:solidFill>
                    <w14:schemeClr w14:val="tx1"/>
                  </w14:solidFill>
                </w14:textFill>
              </w:rPr>
            </w:pPr>
            <w:r>
              <w:rPr>
                <w:rFonts w:hint="eastAsia" w:ascii="宋体" w:hAnsi="宋体" w:eastAsia="宋体" w:cs="宋体"/>
                <w:color w:val="000000" w:themeColor="text1"/>
                <w:kern w:val="0"/>
                <w:sz w:val="20"/>
                <w:szCs w:val="20"/>
                <w:u w:val="none"/>
                <w:lang w:val="en-US" w:eastAsia="zh-CN" w:bidi="ar"/>
                <w14:textFill>
                  <w14:solidFill>
                    <w14:schemeClr w14:val="tx1"/>
                  </w14:solidFill>
                </w14:textFill>
              </w:rPr>
              <w:t>★</w:t>
            </w:r>
            <w:r>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t>2-3</w:t>
            </w:r>
          </w:p>
        </w:tc>
      </w:tr>
      <w:tr>
        <w:tblPrEx>
          <w:tblBorders>
            <w:top w:val="single" w:color="333333" w:sz="4" w:space="0"/>
            <w:left w:val="single" w:color="333333" w:sz="4" w:space="0"/>
            <w:bottom w:val="single" w:color="333333" w:sz="4" w:space="0"/>
            <w:right w:val="single" w:color="333333" w:sz="4" w:space="0"/>
            <w:insideH w:val="single" w:color="333333" w:sz="4" w:space="0"/>
            <w:insideV w:val="single" w:color="333333" w:sz="4" w:space="0"/>
          </w:tblBorders>
          <w:tblCellMar>
            <w:top w:w="0" w:type="dxa"/>
            <w:left w:w="108" w:type="dxa"/>
            <w:bottom w:w="0" w:type="dxa"/>
            <w:right w:w="108" w:type="dxa"/>
          </w:tblCellMar>
        </w:tblPrEx>
        <w:trPr>
          <w:trHeight w:val="635" w:hRule="exact"/>
          <w:jc w:val="center"/>
        </w:trPr>
        <w:tc>
          <w:tcPr>
            <w:tcW w:w="469" w:type="dxa"/>
            <w:vMerge w:val="continue"/>
            <w:noWrap w:val="0"/>
            <w:vAlign w:val="center"/>
          </w:tcPr>
          <w:p>
            <w:pPr>
              <w:widowControl/>
              <w:ind w:firstLine="420" w:firstLineChars="200"/>
              <w:rPr>
                <w:rFonts w:hint="eastAsia" w:ascii="仿宋_GB2312" w:hAnsi="宋体" w:eastAsia="仿宋_GB2312" w:cs="宋体"/>
                <w:color w:val="000000" w:themeColor="text1"/>
                <w:kern w:val="0"/>
                <w:sz w:val="21"/>
                <w:szCs w:val="21"/>
                <w:u w:val="none"/>
                <w14:textFill>
                  <w14:solidFill>
                    <w14:schemeClr w14:val="tx1"/>
                  </w14:solidFill>
                </w14:textFill>
              </w:rPr>
            </w:pPr>
          </w:p>
        </w:tc>
        <w:tc>
          <w:tcPr>
            <w:tcW w:w="6615" w:type="dxa"/>
            <w:gridSpan w:val="3"/>
            <w:noWrap w:val="0"/>
            <w:vAlign w:val="center"/>
          </w:tcPr>
          <w:p>
            <w:pPr>
              <w:widowControl/>
              <w:spacing w:line="240" w:lineRule="exact"/>
              <w:rPr>
                <w:rFonts w:hint="eastAsia" w:ascii="仿宋_GB2312" w:hAnsi="宋体" w:eastAsia="仿宋_GB2312" w:cs="宋体"/>
                <w:color w:val="000000" w:themeColor="text1"/>
                <w:kern w:val="0"/>
                <w:sz w:val="21"/>
                <w:szCs w:val="21"/>
                <w:u w:val="none"/>
                <w:lang w:eastAsia="zh-CN"/>
                <w14:textFill>
                  <w14:solidFill>
                    <w14:schemeClr w14:val="tx1"/>
                  </w14:solidFill>
                </w14:textFill>
              </w:rPr>
            </w:pPr>
            <w:r>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t>校外实习实训基地（个）（按专业统计）</w:t>
            </w:r>
          </w:p>
        </w:tc>
        <w:tc>
          <w:tcPr>
            <w:tcW w:w="1070" w:type="dxa"/>
            <w:tcBorders>
              <w:top w:val="single" w:color="auto" w:sz="4" w:space="0"/>
              <w:bottom w:val="single" w:color="auto" w:sz="4" w:space="0"/>
            </w:tcBorders>
            <w:noWrap w:val="0"/>
            <w:vAlign w:val="center"/>
          </w:tcPr>
          <w:p>
            <w:pPr>
              <w:rPr>
                <w:rFonts w:hint="default" w:ascii="仿宋_GB2312" w:hAnsi="宋体" w:eastAsia="仿宋_GB2312" w:cs="宋体"/>
                <w:color w:val="000000" w:themeColor="text1"/>
                <w:kern w:val="0"/>
                <w:sz w:val="21"/>
                <w:szCs w:val="21"/>
                <w:u w:val="none"/>
                <w:lang w:val="en-US" w:eastAsia="zh-CN"/>
                <w14:textFill>
                  <w14:solidFill>
                    <w14:schemeClr w14:val="tx1"/>
                  </w14:solidFill>
                </w14:textFill>
              </w:rPr>
            </w:pPr>
            <w:r>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t>200余个</w:t>
            </w:r>
          </w:p>
        </w:tc>
        <w:tc>
          <w:tcPr>
            <w:tcW w:w="1568" w:type="dxa"/>
            <w:tcBorders>
              <w:top w:val="single" w:color="auto" w:sz="4" w:space="0"/>
              <w:bottom w:val="single" w:color="auto" w:sz="4" w:space="0"/>
            </w:tcBorders>
            <w:noWrap w:val="0"/>
            <w:vAlign w:val="center"/>
          </w:tcPr>
          <w:p>
            <w:pPr>
              <w:widowControl/>
              <w:rPr>
                <w:rFonts w:hint="default" w:ascii="仿宋_GB2312" w:hAnsi="宋体" w:eastAsia="仿宋_GB2312" w:cs="宋体"/>
                <w:color w:val="000000" w:themeColor="text1"/>
                <w:kern w:val="0"/>
                <w:sz w:val="21"/>
                <w:szCs w:val="21"/>
                <w:u w:val="none"/>
                <w:lang w:val="en-US" w:eastAsia="zh-CN"/>
                <w14:textFill>
                  <w14:solidFill>
                    <w14:schemeClr w14:val="tx1"/>
                  </w14:solidFill>
                </w14:textFill>
              </w:rPr>
            </w:pPr>
            <w:r>
              <w:rPr>
                <w:rFonts w:hint="eastAsia" w:ascii="仿宋_GB2312" w:hAnsi="宋体" w:eastAsia="仿宋_GB2312" w:cs="宋体"/>
                <w:color w:val="000000" w:themeColor="text1"/>
                <w:kern w:val="0"/>
                <w:sz w:val="21"/>
                <w:szCs w:val="21"/>
                <w:u w:val="none"/>
                <w:lang w:eastAsia="zh-CN"/>
                <w14:textFill>
                  <w14:solidFill>
                    <w14:schemeClr w14:val="tx1"/>
                  </w14:solidFill>
                </w14:textFill>
              </w:rPr>
              <w:t>每个专业新增</w:t>
            </w:r>
            <w:r>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t>3-5个</w:t>
            </w:r>
          </w:p>
        </w:tc>
      </w:tr>
      <w:tr>
        <w:tblPrEx>
          <w:tblBorders>
            <w:top w:val="single" w:color="333333" w:sz="4" w:space="0"/>
            <w:left w:val="single" w:color="333333" w:sz="4" w:space="0"/>
            <w:bottom w:val="single" w:color="333333" w:sz="4" w:space="0"/>
            <w:right w:val="single" w:color="333333" w:sz="4" w:space="0"/>
            <w:insideH w:val="single" w:color="333333" w:sz="4" w:space="0"/>
            <w:insideV w:val="single" w:color="333333" w:sz="4" w:space="0"/>
          </w:tblBorders>
          <w:tblCellMar>
            <w:top w:w="0" w:type="dxa"/>
            <w:left w:w="108" w:type="dxa"/>
            <w:bottom w:w="0" w:type="dxa"/>
            <w:right w:w="108" w:type="dxa"/>
          </w:tblCellMar>
        </w:tblPrEx>
        <w:trPr>
          <w:trHeight w:val="554" w:hRule="atLeast"/>
          <w:jc w:val="center"/>
        </w:trPr>
        <w:tc>
          <w:tcPr>
            <w:tcW w:w="469" w:type="dxa"/>
            <w:vMerge w:val="continue"/>
            <w:noWrap w:val="0"/>
            <w:vAlign w:val="center"/>
          </w:tcPr>
          <w:p>
            <w:pPr>
              <w:ind w:firstLine="420" w:firstLineChars="200"/>
              <w:rPr>
                <w:rFonts w:hint="eastAsia" w:ascii="仿宋_GB2312" w:hAnsi="宋体" w:eastAsia="仿宋_GB2312" w:cs="宋体"/>
                <w:color w:val="000000" w:themeColor="text1"/>
                <w:kern w:val="0"/>
                <w:sz w:val="21"/>
                <w:szCs w:val="21"/>
                <w:u w:val="none"/>
                <w14:textFill>
                  <w14:solidFill>
                    <w14:schemeClr w14:val="tx1"/>
                  </w14:solidFill>
                </w14:textFill>
              </w:rPr>
            </w:pPr>
          </w:p>
        </w:tc>
        <w:tc>
          <w:tcPr>
            <w:tcW w:w="3180" w:type="dxa"/>
            <w:gridSpan w:val="2"/>
            <w:tcBorders>
              <w:top w:val="single" w:color="auto" w:sz="4" w:space="0"/>
              <w:right w:val="single" w:color="auto" w:sz="4" w:space="0"/>
            </w:tcBorders>
            <w:noWrap w:val="0"/>
            <w:vAlign w:val="center"/>
          </w:tcPr>
          <w:p>
            <w:pPr>
              <w:widowControl/>
              <w:spacing w:line="240" w:lineRule="exact"/>
              <w:rPr>
                <w:rFonts w:hint="eastAsia" w:ascii="仿宋_GB2312" w:hAnsi="宋体" w:eastAsia="仿宋_GB2312" w:cs="宋体"/>
                <w:color w:val="000000" w:themeColor="text1"/>
                <w:kern w:val="0"/>
                <w:sz w:val="21"/>
                <w:szCs w:val="21"/>
                <w:u w:val="none"/>
                <w14:textFill>
                  <w14:solidFill>
                    <w14:schemeClr w14:val="tx1"/>
                  </w14:solidFill>
                </w14:textFill>
              </w:rPr>
            </w:pPr>
            <w:r>
              <w:rPr>
                <w:rFonts w:hint="eastAsia" w:ascii="仿宋_GB2312" w:hAnsi="宋体" w:eastAsia="仿宋_GB2312" w:cs="宋体"/>
                <w:color w:val="000000" w:themeColor="text1"/>
                <w:kern w:val="0"/>
                <w:sz w:val="21"/>
                <w:szCs w:val="21"/>
                <w:u w:val="none"/>
                <w14:textFill>
                  <w14:solidFill>
                    <w14:schemeClr w14:val="tx1"/>
                  </w14:solidFill>
                </w14:textFill>
              </w:rPr>
              <w:t>就业率（%）</w:t>
            </w:r>
          </w:p>
        </w:tc>
        <w:tc>
          <w:tcPr>
            <w:tcW w:w="3435" w:type="dxa"/>
            <w:tcBorders>
              <w:top w:val="single" w:color="auto" w:sz="4" w:space="0"/>
              <w:left w:val="single" w:color="auto" w:sz="4" w:space="0"/>
            </w:tcBorders>
            <w:noWrap w:val="0"/>
            <w:vAlign w:val="center"/>
          </w:tcPr>
          <w:p>
            <w:pPr>
              <w:widowControl/>
              <w:rPr>
                <w:rFonts w:hint="eastAsia" w:ascii="仿宋_GB2312" w:hAnsi="宋体" w:eastAsia="仿宋_GB2312" w:cs="宋体"/>
                <w:color w:val="000000" w:themeColor="text1"/>
                <w:w w:val="90"/>
                <w:kern w:val="0"/>
                <w:sz w:val="21"/>
                <w:szCs w:val="21"/>
                <w:u w:val="none"/>
                <w14:textFill>
                  <w14:solidFill>
                    <w14:schemeClr w14:val="tx1"/>
                  </w14:solidFill>
                </w14:textFill>
              </w:rPr>
            </w:pPr>
            <w:r>
              <w:rPr>
                <w:rFonts w:hint="eastAsia" w:ascii="仿宋_GB2312" w:hAnsi="宋体" w:eastAsia="仿宋_GB2312" w:cs="宋体"/>
                <w:color w:val="000000" w:themeColor="text1"/>
                <w:w w:val="90"/>
                <w:kern w:val="0"/>
                <w:sz w:val="21"/>
                <w:szCs w:val="21"/>
                <w:u w:val="none"/>
                <w14:textFill>
                  <w14:solidFill>
                    <w14:schemeClr w14:val="tx1"/>
                  </w14:solidFill>
                </w14:textFill>
              </w:rPr>
              <w:t>就业率</w:t>
            </w:r>
          </w:p>
        </w:tc>
        <w:tc>
          <w:tcPr>
            <w:tcW w:w="1070" w:type="dxa"/>
            <w:tcBorders>
              <w:top w:val="single" w:color="auto" w:sz="4" w:space="0"/>
            </w:tcBorders>
            <w:noWrap w:val="0"/>
            <w:vAlign w:val="center"/>
          </w:tcPr>
          <w:p>
            <w:pPr>
              <w:widowControl/>
              <w:rPr>
                <w:rFonts w:hint="default" w:ascii="仿宋_GB2312" w:hAnsi="宋体" w:eastAsia="仿宋_GB2312" w:cs="宋体"/>
                <w:color w:val="000000" w:themeColor="text1"/>
                <w:kern w:val="0"/>
                <w:sz w:val="21"/>
                <w:szCs w:val="21"/>
                <w:u w:val="none"/>
                <w:lang w:val="en-US" w:eastAsia="zh-CN"/>
                <w14:textFill>
                  <w14:solidFill>
                    <w14:schemeClr w14:val="tx1"/>
                  </w14:solidFill>
                </w14:textFill>
              </w:rPr>
            </w:pPr>
            <w:r>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t>93</w:t>
            </w:r>
          </w:p>
        </w:tc>
        <w:tc>
          <w:tcPr>
            <w:tcW w:w="1568" w:type="dxa"/>
            <w:tcBorders>
              <w:top w:val="single" w:color="auto" w:sz="4" w:space="0"/>
              <w:bottom w:val="single" w:color="auto" w:sz="4" w:space="0"/>
            </w:tcBorders>
            <w:noWrap w:val="0"/>
            <w:vAlign w:val="center"/>
          </w:tcPr>
          <w:p>
            <w:pPr>
              <w:widowControl/>
              <w:rPr>
                <w:rFonts w:hint="default" w:ascii="仿宋_GB2312" w:hAnsi="宋体" w:eastAsia="仿宋_GB2312" w:cs="宋体"/>
                <w:color w:val="000000" w:themeColor="text1"/>
                <w:kern w:val="0"/>
                <w:sz w:val="21"/>
                <w:szCs w:val="21"/>
                <w:u w:val="none"/>
                <w:lang w:val="en-US" w:eastAsia="zh-CN"/>
                <w14:textFill>
                  <w14:solidFill>
                    <w14:schemeClr w14:val="tx1"/>
                  </w14:solidFill>
                </w14:textFill>
              </w:rPr>
            </w:pPr>
            <w:r>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t>95</w:t>
            </w:r>
          </w:p>
        </w:tc>
      </w:tr>
      <w:tr>
        <w:tblPrEx>
          <w:tblBorders>
            <w:top w:val="single" w:color="333333" w:sz="4" w:space="0"/>
            <w:left w:val="single" w:color="333333" w:sz="4" w:space="0"/>
            <w:bottom w:val="single" w:color="333333" w:sz="4" w:space="0"/>
            <w:right w:val="single" w:color="333333" w:sz="4" w:space="0"/>
            <w:insideH w:val="single" w:color="333333" w:sz="4" w:space="0"/>
            <w:insideV w:val="single" w:color="333333" w:sz="4" w:space="0"/>
          </w:tblBorders>
          <w:tblCellMar>
            <w:top w:w="0" w:type="dxa"/>
            <w:left w:w="108" w:type="dxa"/>
            <w:bottom w:w="0" w:type="dxa"/>
            <w:right w:w="108" w:type="dxa"/>
          </w:tblCellMar>
        </w:tblPrEx>
        <w:trPr>
          <w:trHeight w:val="197" w:hRule="atLeast"/>
          <w:jc w:val="center"/>
        </w:trPr>
        <w:tc>
          <w:tcPr>
            <w:tcW w:w="469" w:type="dxa"/>
            <w:vMerge w:val="continue"/>
            <w:noWrap w:val="0"/>
            <w:vAlign w:val="center"/>
          </w:tcPr>
          <w:p>
            <w:pPr>
              <w:widowControl/>
              <w:ind w:firstLine="420" w:firstLineChars="200"/>
              <w:rPr>
                <w:rFonts w:hint="eastAsia" w:ascii="仿宋_GB2312" w:hAnsi="宋体" w:eastAsia="仿宋_GB2312" w:cs="宋体"/>
                <w:color w:val="000000" w:themeColor="text1"/>
                <w:kern w:val="0"/>
                <w:sz w:val="21"/>
                <w:szCs w:val="21"/>
                <w:u w:val="none"/>
                <w14:textFill>
                  <w14:solidFill>
                    <w14:schemeClr w14:val="tx1"/>
                  </w14:solidFill>
                </w14:textFill>
              </w:rPr>
            </w:pPr>
          </w:p>
        </w:tc>
        <w:tc>
          <w:tcPr>
            <w:tcW w:w="6615" w:type="dxa"/>
            <w:gridSpan w:val="3"/>
            <w:noWrap w:val="0"/>
            <w:vAlign w:val="center"/>
          </w:tcPr>
          <w:p>
            <w:pPr>
              <w:widowControl/>
              <w:rPr>
                <w:rFonts w:hint="default" w:ascii="仿宋_GB2312" w:hAnsi="宋体" w:eastAsia="仿宋_GB2312" w:cs="宋体"/>
                <w:color w:val="000000" w:themeColor="text1"/>
                <w:w w:val="90"/>
                <w:kern w:val="0"/>
                <w:sz w:val="21"/>
                <w:szCs w:val="21"/>
                <w:u w:val="none"/>
                <w:lang w:val="en-US"/>
                <w14:textFill>
                  <w14:solidFill>
                    <w14:schemeClr w14:val="tx1"/>
                  </w14:solidFill>
                </w14:textFill>
              </w:rPr>
            </w:pPr>
            <w:r>
              <w:rPr>
                <w:rFonts w:hint="eastAsia" w:ascii="仿宋_GB2312" w:hAnsi="宋体" w:eastAsia="仿宋_GB2312" w:cs="宋体"/>
                <w:color w:val="000000" w:themeColor="text1"/>
                <w:kern w:val="0"/>
                <w:sz w:val="21"/>
                <w:szCs w:val="21"/>
                <w:u w:val="none"/>
                <w:lang w:eastAsia="zh-CN"/>
                <w14:textFill>
                  <w14:solidFill>
                    <w14:schemeClr w14:val="tx1"/>
                  </w14:solidFill>
                </w14:textFill>
              </w:rPr>
              <w:t>省级教改项目（项）</w:t>
            </w:r>
            <w:r>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t xml:space="preserve">       </w:t>
            </w:r>
          </w:p>
        </w:tc>
        <w:tc>
          <w:tcPr>
            <w:tcW w:w="1070" w:type="dxa"/>
            <w:tcBorders>
              <w:top w:val="single" w:color="auto" w:sz="4" w:space="0"/>
              <w:bottom w:val="single" w:color="auto" w:sz="4" w:space="0"/>
            </w:tcBorders>
            <w:noWrap w:val="0"/>
            <w:vAlign w:val="center"/>
          </w:tcPr>
          <w:p>
            <w:pPr>
              <w:widowControl/>
              <w:rPr>
                <w:rFonts w:hint="default" w:ascii="仿宋_GB2312" w:hAnsi="宋体" w:eastAsia="仿宋_GB2312" w:cs="宋体"/>
                <w:color w:val="000000" w:themeColor="text1"/>
                <w:kern w:val="0"/>
                <w:sz w:val="21"/>
                <w:szCs w:val="21"/>
                <w:u w:val="none"/>
                <w:lang w:val="en-US" w:eastAsia="zh-CN"/>
                <w14:textFill>
                  <w14:solidFill>
                    <w14:schemeClr w14:val="tx1"/>
                  </w14:solidFill>
                </w14:textFill>
              </w:rPr>
            </w:pPr>
            <w:r>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t>14</w:t>
            </w:r>
          </w:p>
        </w:tc>
        <w:tc>
          <w:tcPr>
            <w:tcW w:w="1568" w:type="dxa"/>
            <w:tcBorders>
              <w:top w:val="single" w:color="auto" w:sz="4" w:space="0"/>
              <w:bottom w:val="single" w:color="auto" w:sz="4" w:space="0"/>
            </w:tcBorders>
            <w:noWrap w:val="0"/>
            <w:vAlign w:val="center"/>
          </w:tcPr>
          <w:p>
            <w:pPr>
              <w:widowControl/>
              <w:rPr>
                <w:rFonts w:hint="default" w:ascii="仿宋_GB2312" w:hAnsi="宋体" w:eastAsia="仿宋_GB2312" w:cs="宋体"/>
                <w:color w:val="000000" w:themeColor="text1"/>
                <w:kern w:val="0"/>
                <w:sz w:val="21"/>
                <w:szCs w:val="21"/>
                <w:u w:val="none"/>
                <w:lang w:val="en-US" w:eastAsia="zh-CN"/>
                <w14:textFill>
                  <w14:solidFill>
                    <w14:schemeClr w14:val="tx1"/>
                  </w14:solidFill>
                </w14:textFill>
              </w:rPr>
            </w:pPr>
            <w:r>
              <w:rPr>
                <w:rFonts w:hint="eastAsia" w:ascii="宋体" w:hAnsi="宋体" w:cs="宋体"/>
                <w:color w:val="000000" w:themeColor="text1"/>
                <w:kern w:val="0"/>
                <w:sz w:val="20"/>
                <w:szCs w:val="20"/>
                <w:u w:val="none"/>
                <w:lang w:val="en-US" w:eastAsia="zh-CN" w:bidi="ar"/>
                <w14:textFill>
                  <w14:solidFill>
                    <w14:schemeClr w14:val="tx1"/>
                  </w14:solidFill>
                </w14:textFill>
              </w:rPr>
              <w:t>30</w:t>
            </w:r>
          </w:p>
        </w:tc>
      </w:tr>
      <w:tr>
        <w:tblPrEx>
          <w:tblBorders>
            <w:top w:val="single" w:color="333333" w:sz="4" w:space="0"/>
            <w:left w:val="single" w:color="333333" w:sz="4" w:space="0"/>
            <w:bottom w:val="single" w:color="333333" w:sz="4" w:space="0"/>
            <w:right w:val="single" w:color="333333" w:sz="4" w:space="0"/>
            <w:insideH w:val="single" w:color="333333" w:sz="4" w:space="0"/>
            <w:insideV w:val="single" w:color="333333" w:sz="4" w:space="0"/>
          </w:tblBorders>
          <w:tblCellMar>
            <w:top w:w="0" w:type="dxa"/>
            <w:left w:w="108" w:type="dxa"/>
            <w:bottom w:w="0" w:type="dxa"/>
            <w:right w:w="108" w:type="dxa"/>
          </w:tblCellMar>
        </w:tblPrEx>
        <w:trPr>
          <w:trHeight w:val="197" w:hRule="atLeast"/>
          <w:jc w:val="center"/>
        </w:trPr>
        <w:tc>
          <w:tcPr>
            <w:tcW w:w="469" w:type="dxa"/>
            <w:vMerge w:val="continue"/>
            <w:noWrap w:val="0"/>
            <w:vAlign w:val="center"/>
          </w:tcPr>
          <w:p>
            <w:pPr>
              <w:widowControl/>
              <w:ind w:firstLine="420" w:firstLineChars="200"/>
              <w:rPr>
                <w:rFonts w:hint="eastAsia" w:ascii="仿宋_GB2312" w:hAnsi="宋体" w:eastAsia="仿宋_GB2312" w:cs="宋体"/>
                <w:color w:val="000000" w:themeColor="text1"/>
                <w:kern w:val="0"/>
                <w:sz w:val="21"/>
                <w:szCs w:val="21"/>
                <w:u w:val="none"/>
                <w14:textFill>
                  <w14:solidFill>
                    <w14:schemeClr w14:val="tx1"/>
                  </w14:solidFill>
                </w14:textFill>
              </w:rPr>
            </w:pPr>
          </w:p>
        </w:tc>
        <w:tc>
          <w:tcPr>
            <w:tcW w:w="6615" w:type="dxa"/>
            <w:gridSpan w:val="3"/>
            <w:noWrap w:val="0"/>
            <w:vAlign w:val="center"/>
          </w:tcPr>
          <w:p>
            <w:pPr>
              <w:widowControl/>
              <w:rPr>
                <w:rFonts w:hint="eastAsia" w:ascii="仿宋_GB2312" w:hAnsi="宋体" w:eastAsia="仿宋_GB2312" w:cs="宋体"/>
                <w:color w:val="000000" w:themeColor="text1"/>
                <w:w w:val="90"/>
                <w:kern w:val="0"/>
                <w:sz w:val="21"/>
                <w:szCs w:val="21"/>
                <w:u w:val="none"/>
                <w14:textFill>
                  <w14:solidFill>
                    <w14:schemeClr w14:val="tx1"/>
                  </w14:solidFill>
                </w14:textFill>
              </w:rPr>
            </w:pPr>
            <w:r>
              <w:rPr>
                <w:rFonts w:hint="eastAsia" w:ascii="仿宋_GB2312" w:hAnsi="宋体" w:eastAsia="仿宋_GB2312" w:cs="宋体"/>
                <w:color w:val="000000" w:themeColor="text1"/>
                <w:kern w:val="0"/>
                <w:sz w:val="21"/>
                <w:szCs w:val="21"/>
                <w:u w:val="none"/>
                <w:lang w:eastAsia="zh-CN"/>
                <w14:textFill>
                  <w14:solidFill>
                    <w14:schemeClr w14:val="tx1"/>
                  </w14:solidFill>
                </w14:textFill>
              </w:rPr>
              <w:t>省级教学成果（项）</w:t>
            </w:r>
          </w:p>
        </w:tc>
        <w:tc>
          <w:tcPr>
            <w:tcW w:w="1070" w:type="dxa"/>
            <w:tcBorders>
              <w:top w:val="single" w:color="auto" w:sz="4" w:space="0"/>
              <w:bottom w:val="single" w:color="auto" w:sz="4" w:space="0"/>
            </w:tcBorders>
            <w:noWrap w:val="0"/>
            <w:vAlign w:val="center"/>
          </w:tcPr>
          <w:p>
            <w:pPr>
              <w:widowControl/>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pPr>
            <w:r>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t>6</w:t>
            </w:r>
          </w:p>
        </w:tc>
        <w:tc>
          <w:tcPr>
            <w:tcW w:w="1568" w:type="dxa"/>
            <w:tcBorders>
              <w:top w:val="single" w:color="auto" w:sz="4" w:space="0"/>
              <w:bottom w:val="single" w:color="auto" w:sz="4" w:space="0"/>
            </w:tcBorders>
            <w:noWrap w:val="0"/>
            <w:vAlign w:val="center"/>
          </w:tcPr>
          <w:p>
            <w:pPr>
              <w:widowControl/>
              <w:rPr>
                <w:rFonts w:hint="default" w:ascii="仿宋_GB2312" w:hAnsi="宋体" w:eastAsia="仿宋_GB2312" w:cs="宋体"/>
                <w:color w:val="000000" w:themeColor="text1"/>
                <w:kern w:val="0"/>
                <w:sz w:val="21"/>
                <w:szCs w:val="21"/>
                <w:u w:val="none"/>
                <w:lang w:val="en-US" w:eastAsia="zh-CN"/>
                <w14:textFill>
                  <w14:solidFill>
                    <w14:schemeClr w14:val="tx1"/>
                  </w14:solidFill>
                </w14:textFill>
              </w:rPr>
            </w:pPr>
            <w:r>
              <w:rPr>
                <w:rFonts w:hint="eastAsia" w:ascii="宋体" w:hAnsi="宋体" w:cs="宋体"/>
                <w:color w:val="000000" w:themeColor="text1"/>
                <w:kern w:val="0"/>
                <w:sz w:val="20"/>
                <w:szCs w:val="20"/>
                <w:u w:val="none"/>
                <w:lang w:val="en-US" w:eastAsia="zh-CN" w:bidi="ar"/>
                <w14:textFill>
                  <w14:solidFill>
                    <w14:schemeClr w14:val="tx1"/>
                  </w14:solidFill>
                </w14:textFill>
              </w:rPr>
              <w:t>16</w:t>
            </w:r>
          </w:p>
        </w:tc>
      </w:tr>
      <w:tr>
        <w:tblPrEx>
          <w:tblBorders>
            <w:top w:val="single" w:color="333333" w:sz="4" w:space="0"/>
            <w:left w:val="single" w:color="333333" w:sz="4" w:space="0"/>
            <w:bottom w:val="single" w:color="333333" w:sz="4" w:space="0"/>
            <w:right w:val="single" w:color="333333" w:sz="4" w:space="0"/>
            <w:insideH w:val="single" w:color="333333" w:sz="4" w:space="0"/>
            <w:insideV w:val="single" w:color="333333" w:sz="4" w:space="0"/>
          </w:tblBorders>
          <w:tblCellMar>
            <w:top w:w="0" w:type="dxa"/>
            <w:left w:w="108" w:type="dxa"/>
            <w:bottom w:w="0" w:type="dxa"/>
            <w:right w:w="108" w:type="dxa"/>
          </w:tblCellMar>
        </w:tblPrEx>
        <w:trPr>
          <w:trHeight w:val="197" w:hRule="atLeast"/>
          <w:jc w:val="center"/>
        </w:trPr>
        <w:tc>
          <w:tcPr>
            <w:tcW w:w="469" w:type="dxa"/>
            <w:vMerge w:val="restart"/>
            <w:noWrap w:val="0"/>
            <w:vAlign w:val="center"/>
          </w:tcPr>
          <w:p>
            <w:pPr>
              <w:widowControl/>
              <w:jc w:val="center"/>
              <w:rPr>
                <w:rFonts w:hint="eastAsia" w:ascii="仿宋_GB2312" w:hAnsi="宋体" w:eastAsia="仿宋_GB2312" w:cs="宋体"/>
                <w:b/>
                <w:bCs/>
                <w:color w:val="000000" w:themeColor="text1"/>
                <w:kern w:val="0"/>
                <w:sz w:val="21"/>
                <w:szCs w:val="21"/>
                <w:u w:val="none"/>
                <w:lang w:eastAsia="zh-CN"/>
                <w14:textFill>
                  <w14:solidFill>
                    <w14:schemeClr w14:val="tx1"/>
                  </w14:solidFill>
                </w14:textFill>
              </w:rPr>
            </w:pPr>
            <w:r>
              <w:rPr>
                <w:rFonts w:hint="eastAsia" w:ascii="仿宋_GB2312" w:hAnsi="宋体" w:eastAsia="仿宋_GB2312" w:cs="宋体"/>
                <w:b/>
                <w:bCs/>
                <w:color w:val="000000" w:themeColor="text1"/>
                <w:kern w:val="0"/>
                <w:sz w:val="21"/>
                <w:szCs w:val="21"/>
                <w:u w:val="none"/>
                <w:lang w:eastAsia="zh-CN"/>
                <w14:textFill>
                  <w14:solidFill>
                    <w14:schemeClr w14:val="tx1"/>
                  </w14:solidFill>
                </w14:textFill>
              </w:rPr>
              <w:t>科</w:t>
            </w:r>
          </w:p>
          <w:p>
            <w:pPr>
              <w:widowControl/>
              <w:jc w:val="center"/>
              <w:rPr>
                <w:rFonts w:hint="eastAsia" w:ascii="仿宋_GB2312" w:hAnsi="宋体" w:eastAsia="仿宋_GB2312" w:cs="宋体"/>
                <w:b/>
                <w:bCs/>
                <w:color w:val="000000" w:themeColor="text1"/>
                <w:kern w:val="0"/>
                <w:sz w:val="21"/>
                <w:szCs w:val="21"/>
                <w:u w:val="none"/>
                <w:lang w:eastAsia="zh-CN"/>
                <w14:textFill>
                  <w14:solidFill>
                    <w14:schemeClr w14:val="tx1"/>
                  </w14:solidFill>
                </w14:textFill>
              </w:rPr>
            </w:pPr>
            <w:r>
              <w:rPr>
                <w:rFonts w:hint="eastAsia" w:ascii="仿宋_GB2312" w:hAnsi="宋体" w:eastAsia="仿宋_GB2312" w:cs="宋体"/>
                <w:b/>
                <w:bCs/>
                <w:color w:val="000000" w:themeColor="text1"/>
                <w:kern w:val="0"/>
                <w:sz w:val="21"/>
                <w:szCs w:val="21"/>
                <w:u w:val="none"/>
                <w:lang w:eastAsia="zh-CN"/>
                <w14:textFill>
                  <w14:solidFill>
                    <w14:schemeClr w14:val="tx1"/>
                  </w14:solidFill>
                </w14:textFill>
              </w:rPr>
              <w:t>研</w:t>
            </w:r>
          </w:p>
          <w:p>
            <w:pPr>
              <w:widowControl/>
              <w:jc w:val="center"/>
              <w:rPr>
                <w:rFonts w:hint="eastAsia" w:ascii="仿宋_GB2312" w:hAnsi="宋体" w:eastAsia="仿宋_GB2312" w:cs="宋体"/>
                <w:b/>
                <w:bCs/>
                <w:color w:val="000000" w:themeColor="text1"/>
                <w:kern w:val="0"/>
                <w:sz w:val="21"/>
                <w:szCs w:val="21"/>
                <w:u w:val="none"/>
                <w:lang w:eastAsia="zh-CN"/>
                <w14:textFill>
                  <w14:solidFill>
                    <w14:schemeClr w14:val="tx1"/>
                  </w14:solidFill>
                </w14:textFill>
              </w:rPr>
            </w:pPr>
            <w:r>
              <w:rPr>
                <w:rFonts w:hint="eastAsia" w:ascii="仿宋_GB2312" w:hAnsi="宋体" w:eastAsia="仿宋_GB2312" w:cs="宋体"/>
                <w:b/>
                <w:bCs/>
                <w:color w:val="000000" w:themeColor="text1"/>
                <w:kern w:val="0"/>
                <w:sz w:val="21"/>
                <w:szCs w:val="21"/>
                <w:u w:val="none"/>
                <w:lang w:eastAsia="zh-CN"/>
                <w14:textFill>
                  <w14:solidFill>
                    <w14:schemeClr w14:val="tx1"/>
                  </w14:solidFill>
                </w14:textFill>
              </w:rPr>
              <w:t>平</w:t>
            </w:r>
          </w:p>
          <w:p>
            <w:pPr>
              <w:widowControl/>
              <w:jc w:val="center"/>
              <w:rPr>
                <w:rFonts w:hint="eastAsia" w:ascii="仿宋_GB2312" w:hAnsi="宋体" w:eastAsia="仿宋_GB2312" w:cs="宋体"/>
                <w:color w:val="000000" w:themeColor="text1"/>
                <w:kern w:val="0"/>
                <w:sz w:val="21"/>
                <w:szCs w:val="21"/>
                <w:u w:val="none"/>
                <w:lang w:eastAsia="zh-CN"/>
                <w14:textFill>
                  <w14:solidFill>
                    <w14:schemeClr w14:val="tx1"/>
                  </w14:solidFill>
                </w14:textFill>
              </w:rPr>
            </w:pPr>
            <w:r>
              <w:rPr>
                <w:rFonts w:hint="eastAsia" w:ascii="仿宋_GB2312" w:hAnsi="宋体" w:eastAsia="仿宋_GB2312" w:cs="宋体"/>
                <w:b/>
                <w:bCs/>
                <w:color w:val="000000" w:themeColor="text1"/>
                <w:kern w:val="0"/>
                <w:sz w:val="21"/>
                <w:szCs w:val="21"/>
                <w:u w:val="none"/>
                <w:lang w:eastAsia="zh-CN"/>
                <w14:textFill>
                  <w14:solidFill>
                    <w14:schemeClr w14:val="tx1"/>
                  </w14:solidFill>
                </w14:textFill>
              </w:rPr>
              <w:t>台</w:t>
            </w:r>
          </w:p>
        </w:tc>
        <w:tc>
          <w:tcPr>
            <w:tcW w:w="3180" w:type="dxa"/>
            <w:gridSpan w:val="2"/>
            <w:vMerge w:val="restart"/>
            <w:tcBorders>
              <w:right w:val="single" w:color="auto" w:sz="4" w:space="0"/>
            </w:tcBorders>
            <w:noWrap w:val="0"/>
            <w:vAlign w:val="center"/>
          </w:tcPr>
          <w:p>
            <w:pPr>
              <w:widowControl/>
              <w:rPr>
                <w:rFonts w:hint="eastAsia" w:ascii="仿宋_GB2312" w:hAnsi="宋体" w:eastAsia="仿宋_GB2312" w:cs="宋体"/>
                <w:color w:val="000000" w:themeColor="text1"/>
                <w:kern w:val="0"/>
                <w:sz w:val="21"/>
                <w:szCs w:val="21"/>
                <w:u w:val="none"/>
                <w14:textFill>
                  <w14:solidFill>
                    <w14:schemeClr w14:val="tx1"/>
                  </w14:solidFill>
                </w14:textFill>
              </w:rPr>
            </w:pPr>
            <w:r>
              <w:rPr>
                <w:rFonts w:hint="eastAsia" w:ascii="仿宋_GB2312" w:hAnsi="宋体" w:eastAsia="仿宋_GB2312" w:cs="宋体"/>
                <w:color w:val="000000" w:themeColor="text1"/>
                <w:kern w:val="0"/>
                <w:sz w:val="21"/>
                <w:szCs w:val="21"/>
                <w:u w:val="none"/>
                <w14:textFill>
                  <w14:solidFill>
                    <w14:schemeClr w14:val="tx1"/>
                  </w14:solidFill>
                </w14:textFill>
              </w:rPr>
              <w:t>科研项目（项）</w:t>
            </w:r>
          </w:p>
        </w:tc>
        <w:tc>
          <w:tcPr>
            <w:tcW w:w="3435" w:type="dxa"/>
            <w:tcBorders>
              <w:top w:val="single" w:color="auto" w:sz="4" w:space="0"/>
              <w:left w:val="single" w:color="auto" w:sz="4" w:space="0"/>
              <w:bottom w:val="single" w:color="auto" w:sz="4" w:space="0"/>
            </w:tcBorders>
            <w:noWrap w:val="0"/>
            <w:vAlign w:val="center"/>
          </w:tcPr>
          <w:p>
            <w:pPr>
              <w:widowControl/>
              <w:jc w:val="left"/>
              <w:rPr>
                <w:rFonts w:hint="eastAsia" w:ascii="仿宋_GB2312" w:hAnsi="宋体" w:eastAsia="仿宋_GB2312" w:cs="宋体"/>
                <w:color w:val="000000" w:themeColor="text1"/>
                <w:kern w:val="0"/>
                <w:sz w:val="21"/>
                <w:szCs w:val="21"/>
                <w:u w:val="none"/>
                <w:lang w:eastAsia="zh-CN"/>
                <w14:textFill>
                  <w14:solidFill>
                    <w14:schemeClr w14:val="tx1"/>
                  </w14:solidFill>
                </w14:textFill>
              </w:rPr>
            </w:pPr>
            <w:r>
              <w:rPr>
                <w:rFonts w:hint="eastAsia" w:ascii="仿宋_GB2312" w:hAnsi="宋体" w:eastAsia="仿宋_GB2312" w:cs="宋体"/>
                <w:color w:val="000000" w:themeColor="text1"/>
                <w:kern w:val="0"/>
                <w:sz w:val="21"/>
                <w:szCs w:val="21"/>
                <w:u w:val="none"/>
                <w:lang w:eastAsia="zh-CN"/>
                <w14:textFill>
                  <w14:solidFill>
                    <w14:schemeClr w14:val="tx1"/>
                  </w14:solidFill>
                </w14:textFill>
              </w:rPr>
              <w:t>国家基金项目</w:t>
            </w:r>
          </w:p>
        </w:tc>
        <w:tc>
          <w:tcPr>
            <w:tcW w:w="1070" w:type="dxa"/>
            <w:tcBorders>
              <w:top w:val="single" w:color="auto" w:sz="4" w:space="0"/>
              <w:bottom w:val="single" w:color="auto" w:sz="4" w:space="0"/>
            </w:tcBorders>
            <w:noWrap w:val="0"/>
            <w:vAlign w:val="center"/>
          </w:tcPr>
          <w:p>
            <w:pPr>
              <w:widowControl/>
              <w:rPr>
                <w:rFonts w:hint="default" w:ascii="仿宋_GB2312" w:hAnsi="宋体" w:eastAsia="仿宋_GB2312" w:cs="宋体"/>
                <w:color w:val="000000" w:themeColor="text1"/>
                <w:kern w:val="0"/>
                <w:sz w:val="21"/>
                <w:szCs w:val="21"/>
                <w:u w:val="none"/>
                <w:lang w:val="en-US" w:eastAsia="zh-CN"/>
                <w14:textFill>
                  <w14:solidFill>
                    <w14:schemeClr w14:val="tx1"/>
                  </w14:solidFill>
                </w14:textFill>
              </w:rPr>
            </w:pPr>
            <w:r>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t>3</w:t>
            </w:r>
          </w:p>
        </w:tc>
        <w:tc>
          <w:tcPr>
            <w:tcW w:w="1568" w:type="dxa"/>
            <w:tcBorders>
              <w:top w:val="single" w:color="auto" w:sz="4" w:space="0"/>
              <w:bottom w:val="single" w:color="auto" w:sz="4" w:space="0"/>
            </w:tcBorders>
            <w:noWrap w:val="0"/>
            <w:vAlign w:val="center"/>
          </w:tcPr>
          <w:p>
            <w:pPr>
              <w:widowControl/>
              <w:rPr>
                <w:rFonts w:hint="default" w:ascii="仿宋_GB2312" w:hAnsi="宋体" w:eastAsia="仿宋_GB2312" w:cs="宋体"/>
                <w:color w:val="000000" w:themeColor="text1"/>
                <w:kern w:val="0"/>
                <w:sz w:val="21"/>
                <w:szCs w:val="21"/>
                <w:u w:val="none"/>
                <w:lang w:val="en-US" w:eastAsia="zh-CN"/>
                <w14:textFill>
                  <w14:solidFill>
                    <w14:schemeClr w14:val="tx1"/>
                  </w14:solidFill>
                </w14:textFill>
              </w:rPr>
            </w:pPr>
            <w:r>
              <w:rPr>
                <w:rFonts w:hint="eastAsia" w:ascii="宋体" w:hAnsi="宋体" w:eastAsia="宋体" w:cs="宋体"/>
                <w:color w:val="000000" w:themeColor="text1"/>
                <w:kern w:val="0"/>
                <w:sz w:val="20"/>
                <w:szCs w:val="20"/>
                <w:u w:val="none"/>
                <w:lang w:val="en-US" w:eastAsia="zh-CN" w:bidi="ar"/>
                <w14:textFill>
                  <w14:solidFill>
                    <w14:schemeClr w14:val="tx1"/>
                  </w14:solidFill>
                </w14:textFill>
              </w:rPr>
              <w:t>★</w:t>
            </w:r>
            <w:r>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t>1-2</w:t>
            </w:r>
          </w:p>
        </w:tc>
      </w:tr>
      <w:tr>
        <w:tblPrEx>
          <w:tblBorders>
            <w:top w:val="single" w:color="333333" w:sz="4" w:space="0"/>
            <w:left w:val="single" w:color="333333" w:sz="4" w:space="0"/>
            <w:bottom w:val="single" w:color="333333" w:sz="4" w:space="0"/>
            <w:right w:val="single" w:color="333333" w:sz="4" w:space="0"/>
            <w:insideH w:val="single" w:color="333333" w:sz="4" w:space="0"/>
            <w:insideV w:val="single" w:color="333333" w:sz="4" w:space="0"/>
          </w:tblBorders>
          <w:tblCellMar>
            <w:top w:w="0" w:type="dxa"/>
            <w:left w:w="108" w:type="dxa"/>
            <w:bottom w:w="0" w:type="dxa"/>
            <w:right w:w="108" w:type="dxa"/>
          </w:tblCellMar>
        </w:tblPrEx>
        <w:trPr>
          <w:trHeight w:val="197" w:hRule="atLeast"/>
          <w:jc w:val="center"/>
        </w:trPr>
        <w:tc>
          <w:tcPr>
            <w:tcW w:w="469" w:type="dxa"/>
            <w:vMerge w:val="continue"/>
            <w:noWrap w:val="0"/>
            <w:vAlign w:val="center"/>
          </w:tcPr>
          <w:p>
            <w:pPr>
              <w:widowControl/>
              <w:jc w:val="center"/>
              <w:rPr>
                <w:rFonts w:hint="eastAsia" w:ascii="仿宋_GB2312" w:hAnsi="宋体" w:eastAsia="仿宋_GB2312" w:cs="宋体"/>
                <w:color w:val="000000" w:themeColor="text1"/>
                <w:kern w:val="0"/>
                <w:sz w:val="21"/>
                <w:szCs w:val="21"/>
                <w:u w:val="none"/>
                <w:lang w:eastAsia="zh-CN"/>
                <w14:textFill>
                  <w14:solidFill>
                    <w14:schemeClr w14:val="tx1"/>
                  </w14:solidFill>
                </w14:textFill>
              </w:rPr>
            </w:pPr>
          </w:p>
        </w:tc>
        <w:tc>
          <w:tcPr>
            <w:tcW w:w="3180" w:type="dxa"/>
            <w:gridSpan w:val="2"/>
            <w:vMerge w:val="continue"/>
            <w:tcBorders>
              <w:right w:val="single" w:color="auto" w:sz="4" w:space="0"/>
            </w:tcBorders>
            <w:noWrap w:val="0"/>
            <w:vAlign w:val="center"/>
          </w:tcPr>
          <w:p>
            <w:pPr>
              <w:widowControl/>
              <w:rPr>
                <w:rFonts w:hint="eastAsia" w:ascii="仿宋_GB2312" w:hAnsi="宋体" w:eastAsia="仿宋_GB2312" w:cs="宋体"/>
                <w:color w:val="000000" w:themeColor="text1"/>
                <w:kern w:val="0"/>
                <w:sz w:val="21"/>
                <w:szCs w:val="21"/>
                <w:u w:val="none"/>
                <w14:textFill>
                  <w14:solidFill>
                    <w14:schemeClr w14:val="tx1"/>
                  </w14:solidFill>
                </w14:textFill>
              </w:rPr>
            </w:pPr>
          </w:p>
        </w:tc>
        <w:tc>
          <w:tcPr>
            <w:tcW w:w="3435" w:type="dxa"/>
            <w:tcBorders>
              <w:top w:val="single" w:color="auto" w:sz="4" w:space="0"/>
              <w:left w:val="single" w:color="auto" w:sz="4" w:space="0"/>
              <w:bottom w:val="single" w:color="auto" w:sz="4" w:space="0"/>
            </w:tcBorders>
            <w:noWrap w:val="0"/>
            <w:vAlign w:val="center"/>
          </w:tcPr>
          <w:p>
            <w:pPr>
              <w:widowControl/>
              <w:jc w:val="left"/>
              <w:rPr>
                <w:rFonts w:hint="eastAsia" w:ascii="仿宋_GB2312" w:hAnsi="宋体" w:eastAsia="仿宋_GB2312" w:cs="宋体"/>
                <w:color w:val="000000" w:themeColor="text1"/>
                <w:w w:val="90"/>
                <w:kern w:val="0"/>
                <w:sz w:val="21"/>
                <w:szCs w:val="21"/>
                <w:u w:val="none"/>
                <w:lang w:eastAsia="zh-CN"/>
                <w14:textFill>
                  <w14:solidFill>
                    <w14:schemeClr w14:val="tx1"/>
                  </w14:solidFill>
                </w14:textFill>
              </w:rPr>
            </w:pPr>
            <w:r>
              <w:rPr>
                <w:rFonts w:hint="eastAsia" w:ascii="仿宋_GB2312" w:hAnsi="宋体" w:eastAsia="仿宋_GB2312" w:cs="宋体"/>
                <w:color w:val="000000" w:themeColor="text1"/>
                <w:kern w:val="0"/>
                <w:sz w:val="21"/>
                <w:szCs w:val="21"/>
                <w:u w:val="none"/>
                <w14:textFill>
                  <w14:solidFill>
                    <w14:schemeClr w14:val="tx1"/>
                  </w14:solidFill>
                </w14:textFill>
              </w:rPr>
              <w:t>国家级</w:t>
            </w:r>
            <w:r>
              <w:rPr>
                <w:rFonts w:hint="eastAsia" w:ascii="仿宋_GB2312" w:hAnsi="宋体" w:eastAsia="仿宋_GB2312" w:cs="宋体"/>
                <w:color w:val="000000" w:themeColor="text1"/>
                <w:kern w:val="0"/>
                <w:sz w:val="21"/>
                <w:szCs w:val="21"/>
                <w:u w:val="none"/>
                <w:lang w:eastAsia="zh-CN"/>
                <w14:textFill>
                  <w14:solidFill>
                    <w14:schemeClr w14:val="tx1"/>
                  </w14:solidFill>
                </w14:textFill>
              </w:rPr>
              <w:t>项目</w:t>
            </w:r>
          </w:p>
        </w:tc>
        <w:tc>
          <w:tcPr>
            <w:tcW w:w="1070" w:type="dxa"/>
            <w:tcBorders>
              <w:top w:val="single" w:color="auto" w:sz="4" w:space="0"/>
              <w:bottom w:val="single" w:color="auto" w:sz="4" w:space="0"/>
            </w:tcBorders>
            <w:noWrap w:val="0"/>
            <w:vAlign w:val="center"/>
          </w:tcPr>
          <w:p>
            <w:pPr>
              <w:widowControl/>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pPr>
            <w:r>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t>0</w:t>
            </w:r>
          </w:p>
        </w:tc>
        <w:tc>
          <w:tcPr>
            <w:tcW w:w="1568" w:type="dxa"/>
            <w:tcBorders>
              <w:top w:val="single" w:color="auto" w:sz="4" w:space="0"/>
              <w:bottom w:val="single" w:color="auto" w:sz="4" w:space="0"/>
            </w:tcBorders>
            <w:noWrap w:val="0"/>
            <w:vAlign w:val="center"/>
          </w:tcPr>
          <w:p>
            <w:pPr>
              <w:widowControl/>
              <w:rPr>
                <w:rFonts w:hint="default" w:ascii="仿宋_GB2312" w:hAnsi="宋体" w:eastAsia="仿宋_GB2312" w:cs="宋体"/>
                <w:color w:val="000000" w:themeColor="text1"/>
                <w:kern w:val="0"/>
                <w:sz w:val="21"/>
                <w:szCs w:val="21"/>
                <w:u w:val="none"/>
                <w:lang w:val="en-US" w:eastAsia="zh-CN"/>
                <w14:textFill>
                  <w14:solidFill>
                    <w14:schemeClr w14:val="tx1"/>
                  </w14:solidFill>
                </w14:textFill>
              </w:rPr>
            </w:pPr>
            <w:r>
              <w:rPr>
                <w:rFonts w:hint="eastAsia" w:ascii="宋体" w:hAnsi="宋体" w:eastAsia="宋体" w:cs="宋体"/>
                <w:color w:val="000000" w:themeColor="text1"/>
                <w:kern w:val="0"/>
                <w:sz w:val="20"/>
                <w:szCs w:val="20"/>
                <w:u w:val="none"/>
                <w:lang w:val="en-US" w:eastAsia="zh-CN" w:bidi="ar"/>
                <w14:textFill>
                  <w14:solidFill>
                    <w14:schemeClr w14:val="tx1"/>
                  </w14:solidFill>
                </w14:textFill>
              </w:rPr>
              <w:t>★</w:t>
            </w:r>
            <w:r>
              <w:rPr>
                <w:rFonts w:hint="eastAsia" w:ascii="宋体" w:hAnsi="宋体" w:cs="宋体"/>
                <w:color w:val="000000" w:themeColor="text1"/>
                <w:kern w:val="0"/>
                <w:sz w:val="20"/>
                <w:szCs w:val="20"/>
                <w:u w:val="none"/>
                <w:lang w:val="en-US" w:eastAsia="zh-CN" w:bidi="ar"/>
                <w14:textFill>
                  <w14:solidFill>
                    <w14:schemeClr w14:val="tx1"/>
                  </w14:solidFill>
                </w14:textFill>
              </w:rPr>
              <w:t>5-</w:t>
            </w:r>
            <w:r>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t>10</w:t>
            </w:r>
          </w:p>
        </w:tc>
      </w:tr>
      <w:tr>
        <w:tblPrEx>
          <w:tblBorders>
            <w:top w:val="single" w:color="333333" w:sz="4" w:space="0"/>
            <w:left w:val="single" w:color="333333" w:sz="4" w:space="0"/>
            <w:bottom w:val="single" w:color="333333" w:sz="4" w:space="0"/>
            <w:right w:val="single" w:color="333333" w:sz="4" w:space="0"/>
            <w:insideH w:val="single" w:color="333333" w:sz="4" w:space="0"/>
            <w:insideV w:val="single" w:color="333333" w:sz="4" w:space="0"/>
          </w:tblBorders>
          <w:tblCellMar>
            <w:top w:w="0" w:type="dxa"/>
            <w:left w:w="108" w:type="dxa"/>
            <w:bottom w:w="0" w:type="dxa"/>
            <w:right w:w="108" w:type="dxa"/>
          </w:tblCellMar>
        </w:tblPrEx>
        <w:trPr>
          <w:trHeight w:val="197" w:hRule="atLeast"/>
          <w:jc w:val="center"/>
        </w:trPr>
        <w:tc>
          <w:tcPr>
            <w:tcW w:w="469" w:type="dxa"/>
            <w:vMerge w:val="continue"/>
            <w:noWrap w:val="0"/>
            <w:vAlign w:val="center"/>
          </w:tcPr>
          <w:p>
            <w:pPr>
              <w:widowControl/>
              <w:jc w:val="center"/>
              <w:rPr>
                <w:rFonts w:hint="eastAsia" w:ascii="仿宋_GB2312" w:hAnsi="宋体" w:eastAsia="仿宋_GB2312" w:cs="宋体"/>
                <w:color w:val="000000" w:themeColor="text1"/>
                <w:kern w:val="0"/>
                <w:sz w:val="21"/>
                <w:szCs w:val="21"/>
                <w:u w:val="none"/>
                <w14:textFill>
                  <w14:solidFill>
                    <w14:schemeClr w14:val="tx1"/>
                  </w14:solidFill>
                </w14:textFill>
              </w:rPr>
            </w:pPr>
          </w:p>
        </w:tc>
        <w:tc>
          <w:tcPr>
            <w:tcW w:w="3180" w:type="dxa"/>
            <w:gridSpan w:val="2"/>
            <w:vMerge w:val="continue"/>
            <w:tcBorders>
              <w:right w:val="single" w:color="auto" w:sz="4" w:space="0"/>
            </w:tcBorders>
            <w:noWrap w:val="0"/>
            <w:vAlign w:val="center"/>
          </w:tcPr>
          <w:p>
            <w:pPr>
              <w:widowControl/>
              <w:ind w:firstLine="420" w:firstLineChars="200"/>
              <w:rPr>
                <w:rFonts w:hint="eastAsia" w:ascii="仿宋_GB2312" w:hAnsi="宋体" w:eastAsia="仿宋_GB2312" w:cs="宋体"/>
                <w:color w:val="000000" w:themeColor="text1"/>
                <w:kern w:val="0"/>
                <w:sz w:val="21"/>
                <w:szCs w:val="21"/>
                <w:u w:val="none"/>
                <w14:textFill>
                  <w14:solidFill>
                    <w14:schemeClr w14:val="tx1"/>
                  </w14:solidFill>
                </w14:textFill>
              </w:rPr>
            </w:pPr>
          </w:p>
        </w:tc>
        <w:tc>
          <w:tcPr>
            <w:tcW w:w="3435" w:type="dxa"/>
            <w:tcBorders>
              <w:top w:val="single" w:color="auto" w:sz="4" w:space="0"/>
              <w:left w:val="single" w:color="auto" w:sz="4" w:space="0"/>
              <w:bottom w:val="single" w:color="auto" w:sz="4" w:space="0"/>
            </w:tcBorders>
            <w:noWrap w:val="0"/>
            <w:vAlign w:val="center"/>
          </w:tcPr>
          <w:p>
            <w:pPr>
              <w:widowControl/>
              <w:jc w:val="left"/>
              <w:rPr>
                <w:rFonts w:hint="eastAsia" w:ascii="仿宋_GB2312" w:hAnsi="宋体" w:eastAsia="仿宋_GB2312" w:cs="宋体"/>
                <w:color w:val="000000" w:themeColor="text1"/>
                <w:w w:val="90"/>
                <w:kern w:val="0"/>
                <w:sz w:val="21"/>
                <w:szCs w:val="21"/>
                <w:u w:val="none"/>
                <w:lang w:eastAsia="zh-CN"/>
                <w14:textFill>
                  <w14:solidFill>
                    <w14:schemeClr w14:val="tx1"/>
                  </w14:solidFill>
                </w14:textFill>
              </w:rPr>
            </w:pPr>
            <w:r>
              <w:rPr>
                <w:rFonts w:hint="eastAsia" w:ascii="仿宋_GB2312" w:hAnsi="宋体" w:eastAsia="仿宋_GB2312" w:cs="宋体"/>
                <w:color w:val="000000" w:themeColor="text1"/>
                <w:kern w:val="0"/>
                <w:sz w:val="21"/>
                <w:szCs w:val="21"/>
                <w:u w:val="none"/>
                <w14:textFill>
                  <w14:solidFill>
                    <w14:schemeClr w14:val="tx1"/>
                  </w14:solidFill>
                </w14:textFill>
              </w:rPr>
              <w:t>省</w:t>
            </w:r>
            <w:r>
              <w:rPr>
                <w:rFonts w:hint="eastAsia" w:ascii="仿宋_GB2312" w:hAnsi="宋体" w:eastAsia="仿宋_GB2312" w:cs="宋体"/>
                <w:color w:val="000000" w:themeColor="text1"/>
                <w:kern w:val="0"/>
                <w:sz w:val="21"/>
                <w:szCs w:val="21"/>
                <w:u w:val="none"/>
                <w:lang w:eastAsia="zh-CN"/>
                <w14:textFill>
                  <w14:solidFill>
                    <w14:schemeClr w14:val="tx1"/>
                  </w14:solidFill>
                </w14:textFill>
              </w:rPr>
              <w:t>（部）</w:t>
            </w:r>
            <w:r>
              <w:rPr>
                <w:rFonts w:hint="eastAsia" w:ascii="仿宋_GB2312" w:hAnsi="宋体" w:eastAsia="仿宋_GB2312" w:cs="宋体"/>
                <w:color w:val="000000" w:themeColor="text1"/>
                <w:kern w:val="0"/>
                <w:sz w:val="21"/>
                <w:szCs w:val="21"/>
                <w:u w:val="none"/>
                <w14:textFill>
                  <w14:solidFill>
                    <w14:schemeClr w14:val="tx1"/>
                  </w14:solidFill>
                </w14:textFill>
              </w:rPr>
              <w:t>级</w:t>
            </w:r>
            <w:r>
              <w:rPr>
                <w:rFonts w:hint="eastAsia" w:ascii="仿宋_GB2312" w:hAnsi="宋体" w:eastAsia="仿宋_GB2312" w:cs="宋体"/>
                <w:color w:val="000000" w:themeColor="text1"/>
                <w:kern w:val="0"/>
                <w:sz w:val="21"/>
                <w:szCs w:val="21"/>
                <w:u w:val="none"/>
                <w:lang w:eastAsia="zh-CN"/>
                <w14:textFill>
                  <w14:solidFill>
                    <w14:schemeClr w14:val="tx1"/>
                  </w14:solidFill>
                </w14:textFill>
              </w:rPr>
              <w:t>项目</w:t>
            </w:r>
          </w:p>
        </w:tc>
        <w:tc>
          <w:tcPr>
            <w:tcW w:w="1070" w:type="dxa"/>
            <w:tcBorders>
              <w:top w:val="single" w:color="auto" w:sz="4" w:space="0"/>
              <w:bottom w:val="single" w:color="auto" w:sz="4" w:space="0"/>
            </w:tcBorders>
            <w:noWrap w:val="0"/>
            <w:vAlign w:val="center"/>
          </w:tcPr>
          <w:p>
            <w:pPr>
              <w:widowControl/>
              <w:rPr>
                <w:rFonts w:hint="default" w:ascii="仿宋_GB2312" w:hAnsi="宋体" w:eastAsia="仿宋_GB2312" w:cs="宋体"/>
                <w:color w:val="000000" w:themeColor="text1"/>
                <w:kern w:val="0"/>
                <w:sz w:val="21"/>
                <w:szCs w:val="21"/>
                <w:u w:val="none"/>
                <w:lang w:val="en-US" w:eastAsia="zh-CN"/>
                <w14:textFill>
                  <w14:solidFill>
                    <w14:schemeClr w14:val="tx1"/>
                  </w14:solidFill>
                </w14:textFill>
              </w:rPr>
            </w:pPr>
            <w:r>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t>108</w:t>
            </w:r>
          </w:p>
        </w:tc>
        <w:tc>
          <w:tcPr>
            <w:tcW w:w="1568" w:type="dxa"/>
            <w:tcBorders>
              <w:top w:val="single" w:color="auto" w:sz="4" w:space="0"/>
              <w:bottom w:val="single" w:color="auto" w:sz="4" w:space="0"/>
            </w:tcBorders>
            <w:noWrap w:val="0"/>
            <w:vAlign w:val="center"/>
          </w:tcPr>
          <w:p>
            <w:pPr>
              <w:widowControl/>
              <w:rPr>
                <w:rFonts w:hint="default" w:ascii="仿宋_GB2312" w:hAnsi="宋体" w:eastAsia="仿宋_GB2312" w:cs="宋体"/>
                <w:color w:val="000000" w:themeColor="text1"/>
                <w:kern w:val="0"/>
                <w:sz w:val="21"/>
                <w:szCs w:val="21"/>
                <w:u w:val="none"/>
                <w:lang w:val="en-US" w:eastAsia="zh-CN"/>
                <w14:textFill>
                  <w14:solidFill>
                    <w14:schemeClr w14:val="tx1"/>
                  </w14:solidFill>
                </w14:textFill>
              </w:rPr>
            </w:pPr>
            <w:r>
              <w:rPr>
                <w:rFonts w:hint="eastAsia" w:ascii="宋体" w:hAnsi="宋体" w:eastAsia="宋体" w:cs="宋体"/>
                <w:color w:val="000000" w:themeColor="text1"/>
                <w:kern w:val="0"/>
                <w:sz w:val="20"/>
                <w:szCs w:val="20"/>
                <w:u w:val="none"/>
                <w:lang w:val="en-US" w:eastAsia="zh-CN" w:bidi="ar"/>
                <w14:textFill>
                  <w14:solidFill>
                    <w14:schemeClr w14:val="tx1"/>
                  </w14:solidFill>
                </w14:textFill>
              </w:rPr>
              <w:t>★</w:t>
            </w:r>
            <w:r>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t>100项左右</w:t>
            </w:r>
          </w:p>
        </w:tc>
      </w:tr>
      <w:tr>
        <w:tblPrEx>
          <w:tblBorders>
            <w:top w:val="single" w:color="333333" w:sz="4" w:space="0"/>
            <w:left w:val="single" w:color="333333" w:sz="4" w:space="0"/>
            <w:bottom w:val="single" w:color="333333" w:sz="4" w:space="0"/>
            <w:right w:val="single" w:color="333333" w:sz="4" w:space="0"/>
            <w:insideH w:val="single" w:color="333333" w:sz="4" w:space="0"/>
            <w:insideV w:val="single" w:color="333333" w:sz="4" w:space="0"/>
          </w:tblBorders>
          <w:tblCellMar>
            <w:top w:w="0" w:type="dxa"/>
            <w:left w:w="108" w:type="dxa"/>
            <w:bottom w:w="0" w:type="dxa"/>
            <w:right w:w="108" w:type="dxa"/>
          </w:tblCellMar>
        </w:tblPrEx>
        <w:trPr>
          <w:trHeight w:val="554" w:hRule="atLeast"/>
          <w:jc w:val="center"/>
        </w:trPr>
        <w:tc>
          <w:tcPr>
            <w:tcW w:w="469" w:type="dxa"/>
            <w:vMerge w:val="continue"/>
            <w:noWrap w:val="0"/>
            <w:vAlign w:val="center"/>
          </w:tcPr>
          <w:p>
            <w:pPr>
              <w:widowControl/>
              <w:jc w:val="center"/>
              <w:rPr>
                <w:rFonts w:hint="eastAsia" w:ascii="仿宋_GB2312" w:hAnsi="宋体" w:eastAsia="仿宋_GB2312" w:cs="宋体"/>
                <w:color w:val="000000" w:themeColor="text1"/>
                <w:kern w:val="0"/>
                <w:sz w:val="21"/>
                <w:szCs w:val="21"/>
                <w:u w:val="none"/>
                <w14:textFill>
                  <w14:solidFill>
                    <w14:schemeClr w14:val="tx1"/>
                  </w14:solidFill>
                </w14:textFill>
              </w:rPr>
            </w:pPr>
          </w:p>
        </w:tc>
        <w:tc>
          <w:tcPr>
            <w:tcW w:w="3180" w:type="dxa"/>
            <w:gridSpan w:val="2"/>
            <w:tcBorders>
              <w:right w:val="single" w:color="auto" w:sz="4" w:space="0"/>
            </w:tcBorders>
            <w:noWrap w:val="0"/>
            <w:vAlign w:val="center"/>
          </w:tcPr>
          <w:p>
            <w:pPr>
              <w:widowControl/>
              <w:rPr>
                <w:rFonts w:hint="eastAsia" w:ascii="仿宋_GB2312" w:hAnsi="宋体" w:eastAsia="仿宋_GB2312" w:cs="宋体"/>
                <w:color w:val="000000" w:themeColor="text1"/>
                <w:kern w:val="0"/>
                <w:sz w:val="21"/>
                <w:szCs w:val="21"/>
                <w:u w:val="none"/>
                <w14:textFill>
                  <w14:solidFill>
                    <w14:schemeClr w14:val="tx1"/>
                  </w14:solidFill>
                </w14:textFill>
              </w:rPr>
            </w:pPr>
            <w:r>
              <w:rPr>
                <w:rFonts w:hint="eastAsia" w:ascii="仿宋_GB2312" w:hAnsi="宋体" w:eastAsia="仿宋_GB2312" w:cs="宋体"/>
                <w:color w:val="000000" w:themeColor="text1"/>
                <w:w w:val="90"/>
                <w:kern w:val="0"/>
                <w:sz w:val="21"/>
                <w:szCs w:val="21"/>
                <w:u w:val="none"/>
                <w14:textFill>
                  <w14:solidFill>
                    <w14:schemeClr w14:val="tx1"/>
                  </w14:solidFill>
                </w14:textFill>
              </w:rPr>
              <w:t>科研成果奖（项）</w:t>
            </w:r>
          </w:p>
        </w:tc>
        <w:tc>
          <w:tcPr>
            <w:tcW w:w="3435" w:type="dxa"/>
            <w:tcBorders>
              <w:top w:val="single" w:color="auto" w:sz="4" w:space="0"/>
              <w:left w:val="single" w:color="auto" w:sz="4" w:space="0"/>
              <w:bottom w:val="single" w:color="auto" w:sz="4" w:space="0"/>
            </w:tcBorders>
            <w:noWrap w:val="0"/>
            <w:vAlign w:val="center"/>
          </w:tcPr>
          <w:p>
            <w:pPr>
              <w:widowControl/>
              <w:jc w:val="left"/>
              <w:rPr>
                <w:rFonts w:hint="eastAsia" w:ascii="仿宋_GB2312" w:hAnsi="宋体" w:eastAsia="仿宋_GB2312" w:cs="宋体"/>
                <w:color w:val="000000" w:themeColor="text1"/>
                <w:w w:val="90"/>
                <w:kern w:val="0"/>
                <w:sz w:val="21"/>
                <w:szCs w:val="21"/>
                <w:u w:val="none"/>
                <w:lang w:eastAsia="zh-CN"/>
                <w14:textFill>
                  <w14:solidFill>
                    <w14:schemeClr w14:val="tx1"/>
                  </w14:solidFill>
                </w14:textFill>
              </w:rPr>
            </w:pPr>
            <w:r>
              <w:rPr>
                <w:rFonts w:hint="eastAsia" w:ascii="仿宋_GB2312" w:hAnsi="宋体" w:eastAsia="仿宋_GB2312" w:cs="宋体"/>
                <w:color w:val="000000" w:themeColor="text1"/>
                <w:kern w:val="0"/>
                <w:sz w:val="21"/>
                <w:szCs w:val="21"/>
                <w:u w:val="none"/>
                <w14:textFill>
                  <w14:solidFill>
                    <w14:schemeClr w14:val="tx1"/>
                  </w14:solidFill>
                </w14:textFill>
              </w:rPr>
              <w:t>省</w:t>
            </w:r>
            <w:r>
              <w:rPr>
                <w:rFonts w:hint="eastAsia" w:ascii="仿宋_GB2312" w:hAnsi="宋体" w:eastAsia="仿宋_GB2312" w:cs="宋体"/>
                <w:color w:val="000000" w:themeColor="text1"/>
                <w:kern w:val="0"/>
                <w:sz w:val="21"/>
                <w:szCs w:val="21"/>
                <w:u w:val="none"/>
                <w:lang w:eastAsia="zh-CN"/>
                <w14:textFill>
                  <w14:solidFill>
                    <w14:schemeClr w14:val="tx1"/>
                  </w14:solidFill>
                </w14:textFill>
              </w:rPr>
              <w:t>（部）级科技进步奖、社科成果奖</w:t>
            </w:r>
          </w:p>
        </w:tc>
        <w:tc>
          <w:tcPr>
            <w:tcW w:w="1070" w:type="dxa"/>
            <w:tcBorders>
              <w:top w:val="single" w:color="auto" w:sz="4" w:space="0"/>
              <w:bottom w:val="single" w:color="auto" w:sz="4" w:space="0"/>
            </w:tcBorders>
            <w:noWrap w:val="0"/>
            <w:vAlign w:val="center"/>
          </w:tcPr>
          <w:p>
            <w:pPr>
              <w:widowControl/>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pPr>
            <w:r>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t>0</w:t>
            </w:r>
          </w:p>
        </w:tc>
        <w:tc>
          <w:tcPr>
            <w:tcW w:w="1568" w:type="dxa"/>
            <w:tcBorders>
              <w:top w:val="single" w:color="auto" w:sz="4" w:space="0"/>
              <w:bottom w:val="single" w:color="auto" w:sz="4" w:space="0"/>
            </w:tcBorders>
            <w:noWrap w:val="0"/>
            <w:vAlign w:val="center"/>
          </w:tcPr>
          <w:p>
            <w:pPr>
              <w:widowControl/>
              <w:rPr>
                <w:rFonts w:hint="default" w:ascii="仿宋_GB2312" w:hAnsi="宋体" w:eastAsia="仿宋_GB2312" w:cs="宋体"/>
                <w:color w:val="000000" w:themeColor="text1"/>
                <w:kern w:val="0"/>
                <w:sz w:val="21"/>
                <w:szCs w:val="21"/>
                <w:u w:val="none"/>
                <w:lang w:val="en-US" w:eastAsia="zh-CN"/>
                <w14:textFill>
                  <w14:solidFill>
                    <w14:schemeClr w14:val="tx1"/>
                  </w14:solidFill>
                </w14:textFill>
              </w:rPr>
            </w:pPr>
            <w:r>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t>5-8</w:t>
            </w:r>
          </w:p>
        </w:tc>
      </w:tr>
      <w:tr>
        <w:tblPrEx>
          <w:tblBorders>
            <w:top w:val="single" w:color="333333" w:sz="4" w:space="0"/>
            <w:left w:val="single" w:color="333333" w:sz="4" w:space="0"/>
            <w:bottom w:val="single" w:color="333333" w:sz="4" w:space="0"/>
            <w:right w:val="single" w:color="333333" w:sz="4" w:space="0"/>
            <w:insideH w:val="single" w:color="333333" w:sz="4" w:space="0"/>
            <w:insideV w:val="single" w:color="333333" w:sz="4" w:space="0"/>
          </w:tblBorders>
          <w:tblCellMar>
            <w:top w:w="0" w:type="dxa"/>
            <w:left w:w="108" w:type="dxa"/>
            <w:bottom w:w="0" w:type="dxa"/>
            <w:right w:w="108" w:type="dxa"/>
          </w:tblCellMar>
        </w:tblPrEx>
        <w:trPr>
          <w:trHeight w:val="197" w:hRule="atLeast"/>
          <w:jc w:val="center"/>
        </w:trPr>
        <w:tc>
          <w:tcPr>
            <w:tcW w:w="469" w:type="dxa"/>
            <w:vMerge w:val="continue"/>
            <w:noWrap w:val="0"/>
            <w:vAlign w:val="center"/>
          </w:tcPr>
          <w:p>
            <w:pPr>
              <w:widowControl/>
              <w:jc w:val="center"/>
              <w:rPr>
                <w:rFonts w:hint="eastAsia" w:ascii="仿宋_GB2312" w:hAnsi="宋体" w:eastAsia="仿宋_GB2312" w:cs="宋体"/>
                <w:color w:val="000000" w:themeColor="text1"/>
                <w:kern w:val="0"/>
                <w:sz w:val="21"/>
                <w:szCs w:val="21"/>
                <w:u w:val="none"/>
                <w14:textFill>
                  <w14:solidFill>
                    <w14:schemeClr w14:val="tx1"/>
                  </w14:solidFill>
                </w14:textFill>
              </w:rPr>
            </w:pPr>
          </w:p>
        </w:tc>
        <w:tc>
          <w:tcPr>
            <w:tcW w:w="3180" w:type="dxa"/>
            <w:gridSpan w:val="2"/>
            <w:tcBorders>
              <w:right w:val="single" w:color="auto" w:sz="4" w:space="0"/>
            </w:tcBorders>
            <w:noWrap w:val="0"/>
            <w:vAlign w:val="center"/>
          </w:tcPr>
          <w:p>
            <w:pPr>
              <w:widowControl/>
              <w:spacing w:line="240" w:lineRule="exact"/>
              <w:rPr>
                <w:rFonts w:hint="eastAsia" w:ascii="仿宋_GB2312" w:hAnsi="宋体" w:eastAsia="仿宋_GB2312" w:cs="宋体"/>
                <w:color w:val="000000" w:themeColor="text1"/>
                <w:kern w:val="0"/>
                <w:sz w:val="21"/>
                <w:szCs w:val="21"/>
                <w:u w:val="none"/>
                <w:lang w:val="en-US" w:eastAsia="zh-CN" w:bidi="ar-SA"/>
                <w14:textFill>
                  <w14:solidFill>
                    <w14:schemeClr w14:val="tx1"/>
                  </w14:solidFill>
                </w14:textFill>
              </w:rPr>
            </w:pPr>
            <w:r>
              <w:rPr>
                <w:rFonts w:hint="eastAsia" w:ascii="仿宋_GB2312" w:hAnsi="宋体" w:eastAsia="仿宋_GB2312" w:cs="宋体"/>
                <w:color w:val="000000" w:themeColor="text1"/>
                <w:kern w:val="0"/>
                <w:sz w:val="21"/>
                <w:szCs w:val="21"/>
                <w:u w:val="none"/>
                <w14:textFill>
                  <w14:solidFill>
                    <w14:schemeClr w14:val="tx1"/>
                  </w14:solidFill>
                </w14:textFill>
              </w:rPr>
              <w:t>科研经费（万元）</w:t>
            </w:r>
          </w:p>
        </w:tc>
        <w:tc>
          <w:tcPr>
            <w:tcW w:w="3435" w:type="dxa"/>
            <w:tcBorders>
              <w:top w:val="single" w:color="auto" w:sz="4" w:space="0"/>
              <w:left w:val="single" w:color="auto" w:sz="4" w:space="0"/>
              <w:bottom w:val="single" w:color="auto" w:sz="4" w:space="0"/>
            </w:tcBorders>
            <w:noWrap w:val="0"/>
            <w:vAlign w:val="center"/>
          </w:tcPr>
          <w:p>
            <w:pPr>
              <w:widowControl/>
              <w:rPr>
                <w:rFonts w:hint="eastAsia" w:ascii="仿宋_GB2312" w:hAnsi="宋体" w:eastAsia="仿宋_GB2312" w:cs="宋体"/>
                <w:color w:val="000000" w:themeColor="text1"/>
                <w:kern w:val="0"/>
                <w:sz w:val="21"/>
                <w:szCs w:val="21"/>
                <w:u w:val="none"/>
                <w:lang w:val="en-US" w:eastAsia="zh-CN" w:bidi="ar-SA"/>
                <w14:textFill>
                  <w14:solidFill>
                    <w14:schemeClr w14:val="tx1"/>
                  </w14:solidFill>
                </w14:textFill>
              </w:rPr>
            </w:pPr>
            <w:r>
              <w:rPr>
                <w:rFonts w:hint="eastAsia" w:ascii="仿宋_GB2312" w:hAnsi="宋体" w:eastAsia="仿宋_GB2312" w:cs="宋体"/>
                <w:color w:val="000000" w:themeColor="text1"/>
                <w:kern w:val="0"/>
                <w:sz w:val="21"/>
                <w:szCs w:val="21"/>
                <w:u w:val="none"/>
                <w14:textFill>
                  <w14:solidFill>
                    <w14:schemeClr w14:val="tx1"/>
                  </w14:solidFill>
                </w14:textFill>
              </w:rPr>
              <w:t>科研经费</w:t>
            </w:r>
            <w:r>
              <w:rPr>
                <w:rFonts w:hint="eastAsia" w:ascii="仿宋_GB2312" w:hAnsi="宋体" w:eastAsia="仿宋_GB2312" w:cs="宋体"/>
                <w:color w:val="000000" w:themeColor="text1"/>
                <w:kern w:val="0"/>
                <w:sz w:val="21"/>
                <w:szCs w:val="21"/>
                <w:u w:val="none"/>
                <w:lang w:eastAsia="zh-CN"/>
                <w14:textFill>
                  <w14:solidFill>
                    <w14:schemeClr w14:val="tx1"/>
                  </w14:solidFill>
                </w14:textFill>
              </w:rPr>
              <w:t>年增长率</w:t>
            </w:r>
          </w:p>
        </w:tc>
        <w:tc>
          <w:tcPr>
            <w:tcW w:w="1070" w:type="dxa"/>
            <w:tcBorders>
              <w:top w:val="single" w:color="auto" w:sz="4" w:space="0"/>
              <w:bottom w:val="single" w:color="auto" w:sz="4" w:space="0"/>
            </w:tcBorders>
            <w:noWrap w:val="0"/>
            <w:vAlign w:val="center"/>
          </w:tcPr>
          <w:p>
            <w:pPr>
              <w:widowControl/>
              <w:rPr>
                <w:rFonts w:hint="default" w:ascii="仿宋_GB2312" w:hAnsi="宋体" w:eastAsia="仿宋_GB2312" w:cs="宋体"/>
                <w:color w:val="000000" w:themeColor="text1"/>
                <w:kern w:val="0"/>
                <w:sz w:val="21"/>
                <w:szCs w:val="21"/>
                <w:u w:val="none"/>
                <w:lang w:val="en-US" w:eastAsia="zh-CN"/>
                <w14:textFill>
                  <w14:solidFill>
                    <w14:schemeClr w14:val="tx1"/>
                  </w14:solidFill>
                </w14:textFill>
              </w:rPr>
            </w:pPr>
            <w:r>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t>负增长</w:t>
            </w:r>
          </w:p>
        </w:tc>
        <w:tc>
          <w:tcPr>
            <w:tcW w:w="1568" w:type="dxa"/>
            <w:tcBorders>
              <w:top w:val="single" w:color="auto" w:sz="4" w:space="0"/>
              <w:bottom w:val="single" w:color="auto" w:sz="4" w:space="0"/>
            </w:tcBorders>
            <w:noWrap w:val="0"/>
            <w:vAlign w:val="center"/>
          </w:tcPr>
          <w:p>
            <w:pPr>
              <w:widowControl/>
              <w:rPr>
                <w:rFonts w:hint="default" w:ascii="仿宋_GB2312" w:hAnsi="宋体" w:eastAsia="仿宋_GB2312" w:cs="宋体"/>
                <w:color w:val="000000" w:themeColor="text1"/>
                <w:kern w:val="0"/>
                <w:sz w:val="21"/>
                <w:szCs w:val="21"/>
                <w:u w:val="none"/>
                <w:lang w:val="en-US" w:eastAsia="zh-CN" w:bidi="ar-SA"/>
                <w14:textFill>
                  <w14:solidFill>
                    <w14:schemeClr w14:val="tx1"/>
                  </w14:solidFill>
                </w14:textFill>
              </w:rPr>
            </w:pPr>
            <w:r>
              <w:rPr>
                <w:rFonts w:hint="eastAsia" w:ascii="仿宋_GB2312" w:hAnsi="宋体" w:eastAsia="仿宋_GB2312" w:cs="宋体"/>
                <w:color w:val="000000" w:themeColor="text1"/>
                <w:kern w:val="0"/>
                <w:sz w:val="21"/>
                <w:szCs w:val="21"/>
                <w:u w:val="none"/>
                <w:lang w:val="en-US" w:eastAsia="zh-CN" w:bidi="ar-SA"/>
                <w14:textFill>
                  <w14:solidFill>
                    <w14:schemeClr w14:val="tx1"/>
                  </w14:solidFill>
                </w14:textFill>
              </w:rPr>
              <w:t>年均增长10%</w:t>
            </w:r>
          </w:p>
        </w:tc>
      </w:tr>
      <w:tr>
        <w:tblPrEx>
          <w:tblBorders>
            <w:top w:val="single" w:color="333333" w:sz="4" w:space="0"/>
            <w:left w:val="single" w:color="333333" w:sz="4" w:space="0"/>
            <w:bottom w:val="single" w:color="333333" w:sz="4" w:space="0"/>
            <w:right w:val="single" w:color="333333" w:sz="4" w:space="0"/>
            <w:insideH w:val="single" w:color="333333" w:sz="4" w:space="0"/>
            <w:insideV w:val="single" w:color="333333" w:sz="4" w:space="0"/>
          </w:tblBorders>
          <w:tblCellMar>
            <w:top w:w="0" w:type="dxa"/>
            <w:left w:w="108" w:type="dxa"/>
            <w:bottom w:w="0" w:type="dxa"/>
            <w:right w:w="108" w:type="dxa"/>
          </w:tblCellMar>
        </w:tblPrEx>
        <w:trPr>
          <w:trHeight w:val="197" w:hRule="atLeast"/>
          <w:jc w:val="center"/>
        </w:trPr>
        <w:tc>
          <w:tcPr>
            <w:tcW w:w="469" w:type="dxa"/>
            <w:vMerge w:val="continue"/>
            <w:noWrap w:val="0"/>
            <w:vAlign w:val="center"/>
          </w:tcPr>
          <w:p>
            <w:pPr>
              <w:widowControl/>
              <w:jc w:val="center"/>
              <w:rPr>
                <w:rFonts w:hint="eastAsia" w:ascii="仿宋_GB2312" w:hAnsi="宋体" w:eastAsia="仿宋_GB2312" w:cs="宋体"/>
                <w:color w:val="000000" w:themeColor="text1"/>
                <w:kern w:val="0"/>
                <w:sz w:val="21"/>
                <w:szCs w:val="21"/>
                <w:u w:val="none"/>
                <w14:textFill>
                  <w14:solidFill>
                    <w14:schemeClr w14:val="tx1"/>
                  </w14:solidFill>
                </w14:textFill>
              </w:rPr>
            </w:pPr>
          </w:p>
        </w:tc>
        <w:tc>
          <w:tcPr>
            <w:tcW w:w="3180" w:type="dxa"/>
            <w:gridSpan w:val="2"/>
            <w:vMerge w:val="restart"/>
            <w:tcBorders>
              <w:right w:val="single" w:color="auto" w:sz="4" w:space="0"/>
            </w:tcBorders>
            <w:noWrap w:val="0"/>
            <w:vAlign w:val="center"/>
          </w:tcPr>
          <w:p>
            <w:pPr>
              <w:widowControl/>
              <w:spacing w:line="240" w:lineRule="exact"/>
              <w:rPr>
                <w:rFonts w:hint="eastAsia" w:ascii="仿宋_GB2312" w:hAnsi="宋体" w:eastAsia="仿宋_GB2312" w:cs="宋体"/>
                <w:color w:val="000000" w:themeColor="text1"/>
                <w:kern w:val="0"/>
                <w:sz w:val="21"/>
                <w:szCs w:val="21"/>
                <w:u w:val="none"/>
                <w14:textFill>
                  <w14:solidFill>
                    <w14:schemeClr w14:val="tx1"/>
                  </w14:solidFill>
                </w14:textFill>
              </w:rPr>
            </w:pPr>
            <w:r>
              <w:rPr>
                <w:rFonts w:hint="eastAsia" w:ascii="仿宋_GB2312" w:hAnsi="宋体" w:eastAsia="仿宋_GB2312" w:cs="宋体"/>
                <w:color w:val="000000" w:themeColor="text1"/>
                <w:kern w:val="0"/>
                <w:sz w:val="21"/>
                <w:szCs w:val="21"/>
                <w:u w:val="none"/>
                <w14:textFill>
                  <w14:solidFill>
                    <w14:schemeClr w14:val="tx1"/>
                  </w14:solidFill>
                </w14:textFill>
              </w:rPr>
              <w:t>学术论文（篇）</w:t>
            </w:r>
          </w:p>
        </w:tc>
        <w:tc>
          <w:tcPr>
            <w:tcW w:w="3435" w:type="dxa"/>
            <w:tcBorders>
              <w:top w:val="single" w:color="auto" w:sz="4" w:space="0"/>
              <w:left w:val="single" w:color="auto" w:sz="4" w:space="0"/>
              <w:bottom w:val="single" w:color="auto" w:sz="4" w:space="0"/>
            </w:tcBorders>
            <w:noWrap w:val="0"/>
            <w:vAlign w:val="center"/>
          </w:tcPr>
          <w:p>
            <w:pPr>
              <w:widowControl/>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pPr>
            <w:r>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t>核心期刊</w:t>
            </w:r>
          </w:p>
        </w:tc>
        <w:tc>
          <w:tcPr>
            <w:tcW w:w="1070" w:type="dxa"/>
            <w:tcBorders>
              <w:top w:val="single" w:color="auto" w:sz="4" w:space="0"/>
              <w:bottom w:val="single" w:color="auto" w:sz="4" w:space="0"/>
            </w:tcBorders>
            <w:noWrap w:val="0"/>
            <w:vAlign w:val="center"/>
          </w:tcPr>
          <w:p>
            <w:pPr>
              <w:widowControl/>
              <w:rPr>
                <w:rFonts w:hint="default" w:ascii="仿宋_GB2312" w:hAnsi="宋体" w:eastAsia="仿宋_GB2312" w:cs="宋体"/>
                <w:color w:val="000000" w:themeColor="text1"/>
                <w:kern w:val="0"/>
                <w:sz w:val="21"/>
                <w:szCs w:val="21"/>
                <w:u w:val="none"/>
                <w:lang w:val="en-US" w:eastAsia="zh-CN"/>
                <w14:textFill>
                  <w14:solidFill>
                    <w14:schemeClr w14:val="tx1"/>
                  </w14:solidFill>
                </w14:textFill>
              </w:rPr>
            </w:pPr>
            <w:r>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t>550</w:t>
            </w:r>
          </w:p>
        </w:tc>
        <w:tc>
          <w:tcPr>
            <w:tcW w:w="1568" w:type="dxa"/>
            <w:tcBorders>
              <w:top w:val="single" w:color="auto" w:sz="4" w:space="0"/>
              <w:bottom w:val="single" w:color="auto" w:sz="4" w:space="0"/>
            </w:tcBorders>
            <w:noWrap w:val="0"/>
            <w:vAlign w:val="center"/>
          </w:tcPr>
          <w:p>
            <w:pPr>
              <w:widowControl/>
              <w:rPr>
                <w:rFonts w:hint="default" w:ascii="仿宋_GB2312" w:hAnsi="宋体" w:eastAsia="仿宋_GB2312" w:cs="宋体"/>
                <w:color w:val="000000" w:themeColor="text1"/>
                <w:kern w:val="0"/>
                <w:sz w:val="21"/>
                <w:szCs w:val="21"/>
                <w:u w:val="none"/>
                <w:lang w:val="en-US" w:eastAsia="zh-CN"/>
                <w14:textFill>
                  <w14:solidFill>
                    <w14:schemeClr w14:val="tx1"/>
                  </w14:solidFill>
                </w14:textFill>
              </w:rPr>
            </w:pPr>
            <w:r>
              <w:rPr>
                <w:rFonts w:hint="eastAsia" w:ascii="宋体" w:hAnsi="宋体" w:eastAsia="宋体" w:cs="宋体"/>
                <w:color w:val="000000" w:themeColor="text1"/>
                <w:kern w:val="0"/>
                <w:sz w:val="20"/>
                <w:szCs w:val="20"/>
                <w:u w:val="none"/>
                <w:lang w:val="en-US" w:eastAsia="zh-CN" w:bidi="ar"/>
                <w14:textFill>
                  <w14:solidFill>
                    <w14:schemeClr w14:val="tx1"/>
                  </w14:solidFill>
                </w14:textFill>
              </w:rPr>
              <w:t>★</w:t>
            </w:r>
            <w:r>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t>1000</w:t>
            </w:r>
          </w:p>
        </w:tc>
      </w:tr>
      <w:tr>
        <w:tblPrEx>
          <w:tblBorders>
            <w:top w:val="single" w:color="333333" w:sz="4" w:space="0"/>
            <w:left w:val="single" w:color="333333" w:sz="4" w:space="0"/>
            <w:bottom w:val="single" w:color="333333" w:sz="4" w:space="0"/>
            <w:right w:val="single" w:color="333333" w:sz="4" w:space="0"/>
            <w:insideH w:val="single" w:color="333333" w:sz="4" w:space="0"/>
            <w:insideV w:val="single" w:color="333333" w:sz="4" w:space="0"/>
          </w:tblBorders>
          <w:tblCellMar>
            <w:top w:w="0" w:type="dxa"/>
            <w:left w:w="108" w:type="dxa"/>
            <w:bottom w:w="0" w:type="dxa"/>
            <w:right w:w="108" w:type="dxa"/>
          </w:tblCellMar>
        </w:tblPrEx>
        <w:trPr>
          <w:trHeight w:val="197" w:hRule="atLeast"/>
          <w:jc w:val="center"/>
        </w:trPr>
        <w:tc>
          <w:tcPr>
            <w:tcW w:w="469" w:type="dxa"/>
            <w:vMerge w:val="continue"/>
            <w:noWrap w:val="0"/>
            <w:vAlign w:val="center"/>
          </w:tcPr>
          <w:p>
            <w:pPr>
              <w:widowControl/>
              <w:jc w:val="center"/>
              <w:rPr>
                <w:rFonts w:hint="eastAsia" w:ascii="仿宋_GB2312" w:hAnsi="宋体" w:eastAsia="仿宋_GB2312" w:cs="宋体"/>
                <w:color w:val="000000" w:themeColor="text1"/>
                <w:kern w:val="0"/>
                <w:sz w:val="21"/>
                <w:szCs w:val="21"/>
                <w:u w:val="none"/>
                <w14:textFill>
                  <w14:solidFill>
                    <w14:schemeClr w14:val="tx1"/>
                  </w14:solidFill>
                </w14:textFill>
              </w:rPr>
            </w:pPr>
          </w:p>
        </w:tc>
        <w:tc>
          <w:tcPr>
            <w:tcW w:w="3180" w:type="dxa"/>
            <w:gridSpan w:val="2"/>
            <w:vMerge w:val="continue"/>
            <w:tcBorders>
              <w:right w:val="single" w:color="auto" w:sz="4" w:space="0"/>
            </w:tcBorders>
            <w:noWrap w:val="0"/>
            <w:vAlign w:val="center"/>
          </w:tcPr>
          <w:p>
            <w:pPr>
              <w:widowControl/>
              <w:ind w:firstLine="420" w:firstLineChars="200"/>
              <w:rPr>
                <w:rFonts w:hint="eastAsia" w:ascii="仿宋_GB2312" w:hAnsi="宋体" w:eastAsia="仿宋_GB2312" w:cs="宋体"/>
                <w:color w:val="000000" w:themeColor="text1"/>
                <w:kern w:val="0"/>
                <w:sz w:val="21"/>
                <w:szCs w:val="21"/>
                <w:u w:val="none"/>
                <w14:textFill>
                  <w14:solidFill>
                    <w14:schemeClr w14:val="tx1"/>
                  </w14:solidFill>
                </w14:textFill>
              </w:rPr>
            </w:pPr>
          </w:p>
        </w:tc>
        <w:tc>
          <w:tcPr>
            <w:tcW w:w="3435" w:type="dxa"/>
            <w:tcBorders>
              <w:top w:val="single" w:color="auto" w:sz="4" w:space="0"/>
              <w:left w:val="single" w:color="auto" w:sz="4" w:space="0"/>
              <w:bottom w:val="single" w:color="auto" w:sz="4" w:space="0"/>
            </w:tcBorders>
            <w:noWrap w:val="0"/>
            <w:vAlign w:val="center"/>
          </w:tcPr>
          <w:p>
            <w:pPr>
              <w:widowControl/>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pPr>
            <w:r>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t>三大检索</w:t>
            </w:r>
          </w:p>
        </w:tc>
        <w:tc>
          <w:tcPr>
            <w:tcW w:w="1070" w:type="dxa"/>
            <w:tcBorders>
              <w:top w:val="single" w:color="auto" w:sz="4" w:space="0"/>
              <w:bottom w:val="single" w:color="auto" w:sz="4" w:space="0"/>
            </w:tcBorders>
            <w:noWrap w:val="0"/>
            <w:vAlign w:val="center"/>
          </w:tcPr>
          <w:p>
            <w:pPr>
              <w:widowControl/>
              <w:rPr>
                <w:rFonts w:hint="default" w:ascii="仿宋_GB2312" w:hAnsi="宋体" w:eastAsia="仿宋_GB2312" w:cs="宋体"/>
                <w:color w:val="000000" w:themeColor="text1"/>
                <w:kern w:val="0"/>
                <w:sz w:val="21"/>
                <w:szCs w:val="21"/>
                <w:u w:val="none"/>
                <w:lang w:val="en-US" w:eastAsia="zh-CN"/>
                <w14:textFill>
                  <w14:solidFill>
                    <w14:schemeClr w14:val="tx1"/>
                  </w14:solidFill>
                </w14:textFill>
              </w:rPr>
            </w:pPr>
            <w:r>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t>206</w:t>
            </w:r>
          </w:p>
        </w:tc>
        <w:tc>
          <w:tcPr>
            <w:tcW w:w="1568" w:type="dxa"/>
            <w:tcBorders>
              <w:top w:val="single" w:color="auto" w:sz="4" w:space="0"/>
              <w:bottom w:val="single" w:color="auto" w:sz="4" w:space="0"/>
            </w:tcBorders>
            <w:noWrap w:val="0"/>
            <w:vAlign w:val="center"/>
          </w:tcPr>
          <w:p>
            <w:pPr>
              <w:widowControl/>
              <w:rPr>
                <w:rFonts w:hint="default" w:ascii="仿宋_GB2312" w:hAnsi="宋体" w:eastAsia="仿宋_GB2312" w:cs="宋体"/>
                <w:color w:val="000000" w:themeColor="text1"/>
                <w:kern w:val="0"/>
                <w:sz w:val="21"/>
                <w:szCs w:val="21"/>
                <w:u w:val="none"/>
                <w:lang w:val="en-US" w:eastAsia="zh-CN"/>
                <w14:textFill>
                  <w14:solidFill>
                    <w14:schemeClr w14:val="tx1"/>
                  </w14:solidFill>
                </w14:textFill>
              </w:rPr>
            </w:pPr>
            <w:r>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t>★100篇以上</w:t>
            </w:r>
          </w:p>
        </w:tc>
      </w:tr>
      <w:tr>
        <w:tblPrEx>
          <w:tblBorders>
            <w:top w:val="single" w:color="333333" w:sz="4" w:space="0"/>
            <w:left w:val="single" w:color="333333" w:sz="4" w:space="0"/>
            <w:bottom w:val="single" w:color="333333" w:sz="4" w:space="0"/>
            <w:right w:val="single" w:color="333333" w:sz="4" w:space="0"/>
            <w:insideH w:val="single" w:color="333333" w:sz="4" w:space="0"/>
            <w:insideV w:val="single" w:color="333333" w:sz="4" w:space="0"/>
          </w:tblBorders>
          <w:tblCellMar>
            <w:top w:w="0" w:type="dxa"/>
            <w:left w:w="108" w:type="dxa"/>
            <w:bottom w:w="0" w:type="dxa"/>
            <w:right w:w="108" w:type="dxa"/>
          </w:tblCellMar>
        </w:tblPrEx>
        <w:trPr>
          <w:trHeight w:val="197" w:hRule="atLeast"/>
          <w:jc w:val="center"/>
        </w:trPr>
        <w:tc>
          <w:tcPr>
            <w:tcW w:w="469" w:type="dxa"/>
            <w:vMerge w:val="continue"/>
            <w:noWrap w:val="0"/>
            <w:vAlign w:val="center"/>
          </w:tcPr>
          <w:p>
            <w:pPr>
              <w:widowControl/>
              <w:jc w:val="center"/>
              <w:rPr>
                <w:rFonts w:hint="eastAsia" w:ascii="仿宋_GB2312" w:hAnsi="宋体" w:eastAsia="仿宋_GB2312" w:cs="宋体"/>
                <w:color w:val="000000" w:themeColor="text1"/>
                <w:kern w:val="0"/>
                <w:sz w:val="21"/>
                <w:szCs w:val="21"/>
                <w:u w:val="none"/>
                <w14:textFill>
                  <w14:solidFill>
                    <w14:schemeClr w14:val="tx1"/>
                  </w14:solidFill>
                </w14:textFill>
              </w:rPr>
            </w:pPr>
          </w:p>
        </w:tc>
        <w:tc>
          <w:tcPr>
            <w:tcW w:w="3180" w:type="dxa"/>
            <w:gridSpan w:val="2"/>
            <w:vMerge w:val="restart"/>
            <w:tcBorders>
              <w:right w:val="single" w:color="auto" w:sz="4" w:space="0"/>
            </w:tcBorders>
            <w:noWrap w:val="0"/>
            <w:vAlign w:val="center"/>
          </w:tcPr>
          <w:p>
            <w:pPr>
              <w:widowControl/>
              <w:spacing w:line="240" w:lineRule="exact"/>
              <w:rPr>
                <w:rFonts w:hint="eastAsia" w:ascii="仿宋_GB2312" w:hAnsi="宋体" w:eastAsia="仿宋_GB2312" w:cs="宋体"/>
                <w:color w:val="000000" w:themeColor="text1"/>
                <w:kern w:val="0"/>
                <w:sz w:val="21"/>
                <w:szCs w:val="21"/>
                <w:u w:val="none"/>
                <w:lang w:val="en-US" w:eastAsia="zh-CN" w:bidi="ar-SA"/>
                <w14:textFill>
                  <w14:solidFill>
                    <w14:schemeClr w14:val="tx1"/>
                  </w14:solidFill>
                </w14:textFill>
              </w:rPr>
            </w:pPr>
            <w:r>
              <w:rPr>
                <w:rFonts w:hint="eastAsia" w:ascii="仿宋_GB2312" w:hAnsi="宋体" w:eastAsia="仿宋_GB2312" w:cs="宋体"/>
                <w:color w:val="000000" w:themeColor="text1"/>
                <w:kern w:val="0"/>
                <w:sz w:val="21"/>
                <w:szCs w:val="21"/>
                <w:u w:val="none"/>
                <w14:textFill>
                  <w14:solidFill>
                    <w14:schemeClr w14:val="tx1"/>
                  </w14:solidFill>
                </w14:textFill>
              </w:rPr>
              <w:t>重点实验室（个）</w:t>
            </w:r>
          </w:p>
        </w:tc>
        <w:tc>
          <w:tcPr>
            <w:tcW w:w="3435" w:type="dxa"/>
            <w:tcBorders>
              <w:top w:val="single" w:color="auto" w:sz="4" w:space="0"/>
              <w:left w:val="single" w:color="auto" w:sz="4" w:space="0"/>
              <w:bottom w:val="single" w:color="auto" w:sz="4" w:space="0"/>
            </w:tcBorders>
            <w:noWrap w:val="0"/>
            <w:vAlign w:val="center"/>
          </w:tcPr>
          <w:p>
            <w:pPr>
              <w:rPr>
                <w:rFonts w:hint="eastAsia" w:ascii="仿宋_GB2312" w:hAnsi="宋体" w:eastAsia="仿宋_GB2312" w:cs="宋体"/>
                <w:color w:val="000000" w:themeColor="text1"/>
                <w:kern w:val="0"/>
                <w:sz w:val="21"/>
                <w:szCs w:val="21"/>
                <w:u w:val="none"/>
                <w:lang w:val="en-US" w:eastAsia="zh-CN" w:bidi="ar-SA"/>
                <w14:textFill>
                  <w14:solidFill>
                    <w14:schemeClr w14:val="tx1"/>
                  </w14:solidFill>
                </w14:textFill>
              </w:rPr>
            </w:pPr>
            <w:r>
              <w:rPr>
                <w:rFonts w:hint="eastAsia" w:ascii="仿宋_GB2312" w:hAnsi="宋体" w:eastAsia="仿宋_GB2312" w:cs="宋体"/>
                <w:color w:val="000000" w:themeColor="text1"/>
                <w:kern w:val="0"/>
                <w:sz w:val="21"/>
                <w:szCs w:val="21"/>
                <w:u w:val="none"/>
                <w14:textFill>
                  <w14:solidFill>
                    <w14:schemeClr w14:val="tx1"/>
                  </w14:solidFill>
                </w14:textFill>
              </w:rPr>
              <w:t>省</w:t>
            </w:r>
            <w:r>
              <w:rPr>
                <w:rFonts w:hint="eastAsia" w:ascii="仿宋_GB2312" w:hAnsi="宋体" w:eastAsia="仿宋_GB2312" w:cs="宋体"/>
                <w:color w:val="000000" w:themeColor="text1"/>
                <w:kern w:val="0"/>
                <w:sz w:val="21"/>
                <w:szCs w:val="21"/>
                <w:u w:val="none"/>
                <w:lang w:eastAsia="zh-CN"/>
                <w14:textFill>
                  <w14:solidFill>
                    <w14:schemeClr w14:val="tx1"/>
                  </w14:solidFill>
                </w14:textFill>
              </w:rPr>
              <w:t>（部）</w:t>
            </w:r>
            <w:r>
              <w:rPr>
                <w:rFonts w:hint="eastAsia" w:ascii="仿宋_GB2312" w:hAnsi="宋体" w:eastAsia="仿宋_GB2312" w:cs="宋体"/>
                <w:color w:val="000000" w:themeColor="text1"/>
                <w:kern w:val="0"/>
                <w:sz w:val="21"/>
                <w:szCs w:val="21"/>
                <w:u w:val="none"/>
                <w14:textFill>
                  <w14:solidFill>
                    <w14:schemeClr w14:val="tx1"/>
                  </w14:solidFill>
                </w14:textFill>
              </w:rPr>
              <w:t>级</w:t>
            </w:r>
          </w:p>
        </w:tc>
        <w:tc>
          <w:tcPr>
            <w:tcW w:w="1070" w:type="dxa"/>
            <w:tcBorders>
              <w:top w:val="single" w:color="auto" w:sz="4" w:space="0"/>
              <w:bottom w:val="single" w:color="auto" w:sz="4" w:space="0"/>
            </w:tcBorders>
            <w:noWrap w:val="0"/>
            <w:vAlign w:val="center"/>
          </w:tcPr>
          <w:p>
            <w:pPr>
              <w:widowControl/>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pPr>
            <w:r>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t>1</w:t>
            </w:r>
          </w:p>
        </w:tc>
        <w:tc>
          <w:tcPr>
            <w:tcW w:w="1568" w:type="dxa"/>
            <w:tcBorders>
              <w:top w:val="single" w:color="auto" w:sz="4" w:space="0"/>
              <w:bottom w:val="single" w:color="auto" w:sz="4" w:space="0"/>
            </w:tcBorders>
            <w:noWrap w:val="0"/>
            <w:vAlign w:val="center"/>
          </w:tcPr>
          <w:p>
            <w:pPr>
              <w:widowControl/>
              <w:rPr>
                <w:rFonts w:hint="default" w:ascii="仿宋_GB2312" w:hAnsi="宋体" w:eastAsia="仿宋_GB2312" w:cs="宋体"/>
                <w:color w:val="000000" w:themeColor="text1"/>
                <w:kern w:val="0"/>
                <w:sz w:val="21"/>
                <w:szCs w:val="21"/>
                <w:u w:val="none"/>
                <w:lang w:val="en-US" w:eastAsia="zh-CN"/>
                <w14:textFill>
                  <w14:solidFill>
                    <w14:schemeClr w14:val="tx1"/>
                  </w14:solidFill>
                </w14:textFill>
              </w:rPr>
            </w:pPr>
            <w:r>
              <w:rPr>
                <w:rFonts w:hint="eastAsia" w:ascii="宋体" w:hAnsi="宋体" w:eastAsia="宋体" w:cs="宋体"/>
                <w:color w:val="000000" w:themeColor="text1"/>
                <w:kern w:val="0"/>
                <w:sz w:val="20"/>
                <w:szCs w:val="20"/>
                <w:u w:val="none"/>
                <w:lang w:val="en-US" w:eastAsia="zh-CN" w:bidi="ar"/>
                <w14:textFill>
                  <w14:solidFill>
                    <w14:schemeClr w14:val="tx1"/>
                  </w14:solidFill>
                </w14:textFill>
              </w:rPr>
              <w:t>★</w:t>
            </w:r>
            <w:r>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t>1-2</w:t>
            </w:r>
          </w:p>
        </w:tc>
      </w:tr>
      <w:tr>
        <w:tblPrEx>
          <w:tblBorders>
            <w:top w:val="single" w:color="333333" w:sz="4" w:space="0"/>
            <w:left w:val="single" w:color="333333" w:sz="4" w:space="0"/>
            <w:bottom w:val="single" w:color="333333" w:sz="4" w:space="0"/>
            <w:right w:val="single" w:color="333333" w:sz="4" w:space="0"/>
            <w:insideH w:val="single" w:color="333333" w:sz="4" w:space="0"/>
            <w:insideV w:val="single" w:color="333333" w:sz="4" w:space="0"/>
          </w:tblBorders>
          <w:tblCellMar>
            <w:top w:w="0" w:type="dxa"/>
            <w:left w:w="108" w:type="dxa"/>
            <w:bottom w:w="0" w:type="dxa"/>
            <w:right w:w="108" w:type="dxa"/>
          </w:tblCellMar>
        </w:tblPrEx>
        <w:trPr>
          <w:trHeight w:val="197" w:hRule="atLeast"/>
          <w:jc w:val="center"/>
        </w:trPr>
        <w:tc>
          <w:tcPr>
            <w:tcW w:w="469" w:type="dxa"/>
            <w:vMerge w:val="continue"/>
            <w:noWrap w:val="0"/>
            <w:vAlign w:val="center"/>
          </w:tcPr>
          <w:p>
            <w:pPr>
              <w:widowControl/>
              <w:jc w:val="center"/>
              <w:rPr>
                <w:rFonts w:hint="eastAsia" w:ascii="仿宋_GB2312" w:hAnsi="宋体" w:eastAsia="仿宋_GB2312" w:cs="宋体"/>
                <w:color w:val="000000" w:themeColor="text1"/>
                <w:kern w:val="0"/>
                <w:sz w:val="21"/>
                <w:szCs w:val="21"/>
                <w:u w:val="none"/>
                <w14:textFill>
                  <w14:solidFill>
                    <w14:schemeClr w14:val="tx1"/>
                  </w14:solidFill>
                </w14:textFill>
              </w:rPr>
            </w:pPr>
          </w:p>
        </w:tc>
        <w:tc>
          <w:tcPr>
            <w:tcW w:w="3180" w:type="dxa"/>
            <w:gridSpan w:val="2"/>
            <w:vMerge w:val="continue"/>
            <w:tcBorders>
              <w:right w:val="single" w:color="auto" w:sz="4" w:space="0"/>
            </w:tcBorders>
            <w:noWrap w:val="0"/>
            <w:vAlign w:val="center"/>
          </w:tcPr>
          <w:p>
            <w:pPr>
              <w:widowControl/>
              <w:ind w:firstLine="420" w:firstLineChars="200"/>
              <w:rPr>
                <w:rFonts w:hint="eastAsia" w:ascii="仿宋_GB2312" w:hAnsi="宋体" w:eastAsia="仿宋_GB2312" w:cs="宋体"/>
                <w:color w:val="000000" w:themeColor="text1"/>
                <w:kern w:val="0"/>
                <w:sz w:val="21"/>
                <w:szCs w:val="21"/>
                <w:u w:val="none"/>
                <w14:textFill>
                  <w14:solidFill>
                    <w14:schemeClr w14:val="tx1"/>
                  </w14:solidFill>
                </w14:textFill>
              </w:rPr>
            </w:pPr>
          </w:p>
        </w:tc>
        <w:tc>
          <w:tcPr>
            <w:tcW w:w="3435" w:type="dxa"/>
            <w:tcBorders>
              <w:top w:val="single" w:color="auto" w:sz="4" w:space="0"/>
              <w:left w:val="single" w:color="auto" w:sz="4" w:space="0"/>
              <w:bottom w:val="single" w:color="auto" w:sz="4" w:space="0"/>
            </w:tcBorders>
            <w:noWrap w:val="0"/>
            <w:vAlign w:val="center"/>
          </w:tcPr>
          <w:p>
            <w:pPr>
              <w:rPr>
                <w:rFonts w:hint="eastAsia" w:ascii="仿宋_GB2312" w:hAnsi="宋体" w:eastAsia="仿宋_GB2312" w:cs="宋体"/>
                <w:color w:val="000000" w:themeColor="text1"/>
                <w:kern w:val="0"/>
                <w:sz w:val="21"/>
                <w:szCs w:val="21"/>
                <w:u w:val="none"/>
                <w:lang w:val="en-US" w:eastAsia="zh-CN" w:bidi="ar-SA"/>
                <w14:textFill>
                  <w14:solidFill>
                    <w14:schemeClr w14:val="tx1"/>
                  </w14:solidFill>
                </w14:textFill>
              </w:rPr>
            </w:pPr>
            <w:r>
              <w:rPr>
                <w:rFonts w:hint="eastAsia" w:ascii="仿宋_GB2312" w:hAnsi="宋体" w:eastAsia="仿宋_GB2312" w:cs="宋体"/>
                <w:color w:val="000000" w:themeColor="text1"/>
                <w:kern w:val="0"/>
                <w:sz w:val="21"/>
                <w:szCs w:val="21"/>
                <w:u w:val="none"/>
                <w:lang w:eastAsia="zh-CN"/>
                <w14:textFill>
                  <w14:solidFill>
                    <w14:schemeClr w14:val="tx1"/>
                  </w14:solidFill>
                </w14:textFill>
              </w:rPr>
              <w:t>市</w:t>
            </w:r>
            <w:r>
              <w:rPr>
                <w:rFonts w:hint="eastAsia" w:ascii="仿宋_GB2312" w:hAnsi="宋体" w:eastAsia="仿宋_GB2312" w:cs="宋体"/>
                <w:color w:val="000000" w:themeColor="text1"/>
                <w:kern w:val="0"/>
                <w:sz w:val="21"/>
                <w:szCs w:val="21"/>
                <w:u w:val="none"/>
                <w14:textFill>
                  <w14:solidFill>
                    <w14:schemeClr w14:val="tx1"/>
                  </w14:solidFill>
                </w14:textFill>
              </w:rPr>
              <w:t>厅级</w:t>
            </w:r>
          </w:p>
        </w:tc>
        <w:tc>
          <w:tcPr>
            <w:tcW w:w="1070" w:type="dxa"/>
            <w:tcBorders>
              <w:top w:val="single" w:color="auto" w:sz="4" w:space="0"/>
              <w:bottom w:val="single" w:color="auto" w:sz="4" w:space="0"/>
            </w:tcBorders>
            <w:noWrap w:val="0"/>
            <w:vAlign w:val="center"/>
          </w:tcPr>
          <w:p>
            <w:pPr>
              <w:widowControl/>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pPr>
            <w:r>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t>5</w:t>
            </w:r>
          </w:p>
        </w:tc>
        <w:tc>
          <w:tcPr>
            <w:tcW w:w="1568" w:type="dxa"/>
            <w:tcBorders>
              <w:top w:val="single" w:color="auto" w:sz="4" w:space="0"/>
              <w:bottom w:val="single" w:color="auto" w:sz="4" w:space="0"/>
            </w:tcBorders>
            <w:noWrap w:val="0"/>
            <w:vAlign w:val="center"/>
          </w:tcPr>
          <w:p>
            <w:pPr>
              <w:widowControl/>
              <w:rPr>
                <w:rFonts w:hint="default" w:ascii="仿宋_GB2312" w:hAnsi="宋体" w:eastAsia="仿宋_GB2312" w:cs="宋体"/>
                <w:color w:val="000000" w:themeColor="text1"/>
                <w:kern w:val="0"/>
                <w:sz w:val="21"/>
                <w:szCs w:val="21"/>
                <w:u w:val="none"/>
                <w:lang w:val="en-US" w:eastAsia="zh-CN"/>
                <w14:textFill>
                  <w14:solidFill>
                    <w14:schemeClr w14:val="tx1"/>
                  </w14:solidFill>
                </w14:textFill>
              </w:rPr>
            </w:pPr>
            <w:r>
              <w:rPr>
                <w:rFonts w:hint="eastAsia" w:ascii="宋体" w:hAnsi="宋体" w:eastAsia="宋体" w:cs="宋体"/>
                <w:color w:val="000000" w:themeColor="text1"/>
                <w:kern w:val="0"/>
                <w:sz w:val="20"/>
                <w:szCs w:val="20"/>
                <w:u w:val="none"/>
                <w:lang w:val="en-US" w:eastAsia="zh-CN" w:bidi="ar"/>
                <w14:textFill>
                  <w14:solidFill>
                    <w14:schemeClr w14:val="tx1"/>
                  </w14:solidFill>
                </w14:textFill>
              </w:rPr>
              <w:t>★</w:t>
            </w:r>
            <w:r>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t>5-10</w:t>
            </w:r>
          </w:p>
        </w:tc>
      </w:tr>
      <w:tr>
        <w:tblPrEx>
          <w:tblBorders>
            <w:top w:val="single" w:color="333333" w:sz="4" w:space="0"/>
            <w:left w:val="single" w:color="333333" w:sz="4" w:space="0"/>
            <w:bottom w:val="single" w:color="333333" w:sz="4" w:space="0"/>
            <w:right w:val="single" w:color="333333" w:sz="4" w:space="0"/>
            <w:insideH w:val="single" w:color="333333" w:sz="4" w:space="0"/>
            <w:insideV w:val="single" w:color="333333" w:sz="4" w:space="0"/>
          </w:tblBorders>
          <w:tblCellMar>
            <w:top w:w="0" w:type="dxa"/>
            <w:left w:w="108" w:type="dxa"/>
            <w:bottom w:w="0" w:type="dxa"/>
            <w:right w:w="108" w:type="dxa"/>
          </w:tblCellMar>
        </w:tblPrEx>
        <w:trPr>
          <w:trHeight w:val="197" w:hRule="atLeast"/>
          <w:jc w:val="center"/>
        </w:trPr>
        <w:tc>
          <w:tcPr>
            <w:tcW w:w="469" w:type="dxa"/>
            <w:vMerge w:val="continue"/>
            <w:noWrap w:val="0"/>
            <w:vAlign w:val="center"/>
          </w:tcPr>
          <w:p>
            <w:pPr>
              <w:widowControl/>
              <w:jc w:val="center"/>
              <w:rPr>
                <w:rFonts w:hint="eastAsia" w:ascii="仿宋_GB2312" w:hAnsi="宋体" w:eastAsia="仿宋_GB2312" w:cs="宋体"/>
                <w:color w:val="000000" w:themeColor="text1"/>
                <w:kern w:val="0"/>
                <w:sz w:val="21"/>
                <w:szCs w:val="21"/>
                <w:u w:val="none"/>
                <w14:textFill>
                  <w14:solidFill>
                    <w14:schemeClr w14:val="tx1"/>
                  </w14:solidFill>
                </w14:textFill>
              </w:rPr>
            </w:pPr>
          </w:p>
        </w:tc>
        <w:tc>
          <w:tcPr>
            <w:tcW w:w="3180" w:type="dxa"/>
            <w:gridSpan w:val="2"/>
            <w:vMerge w:val="restart"/>
            <w:tcBorders>
              <w:right w:val="single" w:color="auto" w:sz="4" w:space="0"/>
            </w:tcBorders>
            <w:noWrap w:val="0"/>
            <w:vAlign w:val="center"/>
          </w:tcPr>
          <w:p>
            <w:pPr>
              <w:widowControl/>
              <w:spacing w:line="240" w:lineRule="exact"/>
              <w:rPr>
                <w:rFonts w:hint="eastAsia" w:ascii="仿宋_GB2312" w:hAnsi="宋体" w:eastAsia="仿宋_GB2312" w:cs="宋体"/>
                <w:color w:val="000000" w:themeColor="text1"/>
                <w:kern w:val="0"/>
                <w:sz w:val="21"/>
                <w:szCs w:val="21"/>
                <w:u w:val="none"/>
                <w:lang w:val="en-US" w:eastAsia="zh-CN" w:bidi="ar-SA"/>
                <w14:textFill>
                  <w14:solidFill>
                    <w14:schemeClr w14:val="tx1"/>
                  </w14:solidFill>
                </w14:textFill>
              </w:rPr>
            </w:pPr>
            <w:r>
              <w:rPr>
                <w:rFonts w:hint="eastAsia" w:ascii="仿宋_GB2312" w:hAnsi="宋体" w:eastAsia="仿宋_GB2312" w:cs="宋体"/>
                <w:color w:val="000000" w:themeColor="text1"/>
                <w:kern w:val="0"/>
                <w:sz w:val="21"/>
                <w:szCs w:val="21"/>
                <w:u w:val="none"/>
                <w14:textFill>
                  <w14:solidFill>
                    <w14:schemeClr w14:val="tx1"/>
                  </w14:solidFill>
                </w14:textFill>
              </w:rPr>
              <w:t>工程技术中心（个）</w:t>
            </w:r>
          </w:p>
        </w:tc>
        <w:tc>
          <w:tcPr>
            <w:tcW w:w="3435" w:type="dxa"/>
            <w:tcBorders>
              <w:top w:val="single" w:color="auto" w:sz="4" w:space="0"/>
              <w:left w:val="single" w:color="auto" w:sz="4" w:space="0"/>
              <w:bottom w:val="single" w:color="auto" w:sz="4" w:space="0"/>
            </w:tcBorders>
            <w:noWrap w:val="0"/>
            <w:vAlign w:val="center"/>
          </w:tcPr>
          <w:p>
            <w:pPr>
              <w:widowControl/>
              <w:rPr>
                <w:rFonts w:hint="eastAsia" w:ascii="仿宋_GB2312" w:hAnsi="宋体" w:eastAsia="仿宋_GB2312" w:cs="宋体"/>
                <w:color w:val="000000" w:themeColor="text1"/>
                <w:kern w:val="0"/>
                <w:sz w:val="21"/>
                <w:szCs w:val="21"/>
                <w:u w:val="none"/>
                <w:lang w:val="en-US" w:eastAsia="zh-CN" w:bidi="ar-SA"/>
                <w14:textFill>
                  <w14:solidFill>
                    <w14:schemeClr w14:val="tx1"/>
                  </w14:solidFill>
                </w14:textFill>
              </w:rPr>
            </w:pPr>
            <w:r>
              <w:rPr>
                <w:rFonts w:hint="eastAsia" w:ascii="仿宋_GB2312" w:hAnsi="宋体" w:eastAsia="仿宋_GB2312" w:cs="宋体"/>
                <w:color w:val="000000" w:themeColor="text1"/>
                <w:kern w:val="0"/>
                <w:sz w:val="21"/>
                <w:szCs w:val="21"/>
                <w:u w:val="none"/>
                <w14:textFill>
                  <w14:solidFill>
                    <w14:schemeClr w14:val="tx1"/>
                  </w14:solidFill>
                </w14:textFill>
              </w:rPr>
              <w:t>省</w:t>
            </w:r>
            <w:r>
              <w:rPr>
                <w:rFonts w:hint="eastAsia" w:ascii="仿宋_GB2312" w:hAnsi="宋体" w:eastAsia="仿宋_GB2312" w:cs="宋体"/>
                <w:color w:val="000000" w:themeColor="text1"/>
                <w:kern w:val="0"/>
                <w:sz w:val="21"/>
                <w:szCs w:val="21"/>
                <w:u w:val="none"/>
                <w:lang w:eastAsia="zh-CN"/>
                <w14:textFill>
                  <w14:solidFill>
                    <w14:schemeClr w14:val="tx1"/>
                  </w14:solidFill>
                </w14:textFill>
              </w:rPr>
              <w:t>（部）</w:t>
            </w:r>
            <w:r>
              <w:rPr>
                <w:rFonts w:hint="eastAsia" w:ascii="仿宋_GB2312" w:hAnsi="宋体" w:eastAsia="仿宋_GB2312" w:cs="宋体"/>
                <w:color w:val="000000" w:themeColor="text1"/>
                <w:kern w:val="0"/>
                <w:sz w:val="21"/>
                <w:szCs w:val="21"/>
                <w:u w:val="none"/>
                <w14:textFill>
                  <w14:solidFill>
                    <w14:schemeClr w14:val="tx1"/>
                  </w14:solidFill>
                </w14:textFill>
              </w:rPr>
              <w:t>级</w:t>
            </w:r>
          </w:p>
        </w:tc>
        <w:tc>
          <w:tcPr>
            <w:tcW w:w="1070" w:type="dxa"/>
            <w:tcBorders>
              <w:top w:val="single" w:color="auto" w:sz="4" w:space="0"/>
              <w:bottom w:val="single" w:color="auto" w:sz="4" w:space="0"/>
            </w:tcBorders>
            <w:noWrap w:val="0"/>
            <w:vAlign w:val="center"/>
          </w:tcPr>
          <w:p>
            <w:pPr>
              <w:widowControl/>
              <w:rPr>
                <w:rFonts w:hint="default" w:ascii="仿宋_GB2312" w:hAnsi="宋体" w:eastAsia="仿宋_GB2312" w:cs="宋体"/>
                <w:color w:val="000000" w:themeColor="text1"/>
                <w:kern w:val="0"/>
                <w:sz w:val="21"/>
                <w:szCs w:val="21"/>
                <w:u w:val="none"/>
                <w:lang w:val="en-US" w:eastAsia="zh-CN"/>
                <w14:textFill>
                  <w14:solidFill>
                    <w14:schemeClr w14:val="tx1"/>
                  </w14:solidFill>
                </w14:textFill>
              </w:rPr>
            </w:pPr>
            <w:r>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t>9</w:t>
            </w:r>
          </w:p>
        </w:tc>
        <w:tc>
          <w:tcPr>
            <w:tcW w:w="1568" w:type="dxa"/>
            <w:tcBorders>
              <w:top w:val="single" w:color="auto" w:sz="4" w:space="0"/>
              <w:bottom w:val="single" w:color="auto" w:sz="4" w:space="0"/>
            </w:tcBorders>
            <w:noWrap w:val="0"/>
            <w:vAlign w:val="center"/>
          </w:tcPr>
          <w:p>
            <w:pPr>
              <w:widowControl/>
              <w:rPr>
                <w:rFonts w:hint="default" w:ascii="仿宋_GB2312" w:hAnsi="宋体" w:eastAsia="仿宋_GB2312" w:cs="宋体"/>
                <w:color w:val="000000" w:themeColor="text1"/>
                <w:kern w:val="0"/>
                <w:sz w:val="21"/>
                <w:szCs w:val="21"/>
                <w:u w:val="none"/>
                <w:lang w:val="en-US" w:eastAsia="zh-CN"/>
                <w14:textFill>
                  <w14:solidFill>
                    <w14:schemeClr w14:val="tx1"/>
                  </w14:solidFill>
                </w14:textFill>
              </w:rPr>
            </w:pPr>
            <w:r>
              <w:rPr>
                <w:rFonts w:hint="eastAsia" w:ascii="宋体" w:hAnsi="宋体" w:eastAsia="宋体" w:cs="宋体"/>
                <w:color w:val="000000" w:themeColor="text1"/>
                <w:kern w:val="0"/>
                <w:sz w:val="20"/>
                <w:szCs w:val="20"/>
                <w:u w:val="none"/>
                <w:lang w:val="en-US" w:eastAsia="zh-CN" w:bidi="ar"/>
                <w14:textFill>
                  <w14:solidFill>
                    <w14:schemeClr w14:val="tx1"/>
                  </w14:solidFill>
                </w14:textFill>
              </w:rPr>
              <w:t>★</w:t>
            </w:r>
            <w:r>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t>10个左右</w:t>
            </w:r>
          </w:p>
        </w:tc>
      </w:tr>
      <w:tr>
        <w:tblPrEx>
          <w:tblBorders>
            <w:top w:val="single" w:color="333333" w:sz="4" w:space="0"/>
            <w:left w:val="single" w:color="333333" w:sz="4" w:space="0"/>
            <w:bottom w:val="single" w:color="333333" w:sz="4" w:space="0"/>
            <w:right w:val="single" w:color="333333" w:sz="4" w:space="0"/>
            <w:insideH w:val="single" w:color="333333" w:sz="4" w:space="0"/>
            <w:insideV w:val="single" w:color="333333" w:sz="4" w:space="0"/>
          </w:tblBorders>
          <w:tblCellMar>
            <w:top w:w="0" w:type="dxa"/>
            <w:left w:w="108" w:type="dxa"/>
            <w:bottom w:w="0" w:type="dxa"/>
            <w:right w:w="108" w:type="dxa"/>
          </w:tblCellMar>
        </w:tblPrEx>
        <w:trPr>
          <w:trHeight w:val="197" w:hRule="atLeast"/>
          <w:jc w:val="center"/>
        </w:trPr>
        <w:tc>
          <w:tcPr>
            <w:tcW w:w="469" w:type="dxa"/>
            <w:vMerge w:val="continue"/>
            <w:noWrap w:val="0"/>
            <w:vAlign w:val="center"/>
          </w:tcPr>
          <w:p>
            <w:pPr>
              <w:widowControl/>
              <w:jc w:val="center"/>
              <w:rPr>
                <w:rFonts w:hint="eastAsia" w:ascii="仿宋_GB2312" w:hAnsi="宋体" w:eastAsia="仿宋_GB2312" w:cs="宋体"/>
                <w:color w:val="000000" w:themeColor="text1"/>
                <w:kern w:val="0"/>
                <w:sz w:val="21"/>
                <w:szCs w:val="21"/>
                <w:u w:val="none"/>
                <w14:textFill>
                  <w14:solidFill>
                    <w14:schemeClr w14:val="tx1"/>
                  </w14:solidFill>
                </w14:textFill>
              </w:rPr>
            </w:pPr>
          </w:p>
        </w:tc>
        <w:tc>
          <w:tcPr>
            <w:tcW w:w="3180" w:type="dxa"/>
            <w:gridSpan w:val="2"/>
            <w:vMerge w:val="continue"/>
            <w:tcBorders>
              <w:right w:val="single" w:color="auto" w:sz="4" w:space="0"/>
            </w:tcBorders>
            <w:noWrap w:val="0"/>
            <w:vAlign w:val="center"/>
          </w:tcPr>
          <w:p>
            <w:pPr>
              <w:widowControl/>
              <w:ind w:firstLine="420" w:firstLineChars="200"/>
              <w:rPr>
                <w:rFonts w:hint="eastAsia" w:ascii="仿宋_GB2312" w:hAnsi="宋体" w:eastAsia="仿宋_GB2312" w:cs="宋体"/>
                <w:color w:val="000000" w:themeColor="text1"/>
                <w:kern w:val="0"/>
                <w:sz w:val="21"/>
                <w:szCs w:val="21"/>
                <w:u w:val="none"/>
                <w14:textFill>
                  <w14:solidFill>
                    <w14:schemeClr w14:val="tx1"/>
                  </w14:solidFill>
                </w14:textFill>
              </w:rPr>
            </w:pPr>
          </w:p>
        </w:tc>
        <w:tc>
          <w:tcPr>
            <w:tcW w:w="3435" w:type="dxa"/>
            <w:tcBorders>
              <w:top w:val="single" w:color="auto" w:sz="4" w:space="0"/>
              <w:left w:val="single" w:color="auto" w:sz="4" w:space="0"/>
              <w:bottom w:val="single" w:color="auto" w:sz="4" w:space="0"/>
            </w:tcBorders>
            <w:noWrap w:val="0"/>
            <w:vAlign w:val="center"/>
          </w:tcPr>
          <w:p>
            <w:pPr>
              <w:rPr>
                <w:rFonts w:hint="eastAsia" w:ascii="仿宋_GB2312" w:hAnsi="宋体" w:eastAsia="仿宋_GB2312" w:cs="宋体"/>
                <w:color w:val="000000" w:themeColor="text1"/>
                <w:kern w:val="0"/>
                <w:sz w:val="21"/>
                <w:szCs w:val="21"/>
                <w:u w:val="none"/>
                <w:lang w:val="en-US" w:eastAsia="zh-CN" w:bidi="ar-SA"/>
                <w14:textFill>
                  <w14:solidFill>
                    <w14:schemeClr w14:val="tx1"/>
                  </w14:solidFill>
                </w14:textFill>
              </w:rPr>
            </w:pPr>
            <w:r>
              <w:rPr>
                <w:rFonts w:hint="eastAsia" w:ascii="仿宋_GB2312" w:hAnsi="宋体" w:eastAsia="仿宋_GB2312" w:cs="宋体"/>
                <w:color w:val="000000" w:themeColor="text1"/>
                <w:kern w:val="0"/>
                <w:sz w:val="21"/>
                <w:szCs w:val="21"/>
                <w:u w:val="none"/>
                <w:lang w:eastAsia="zh-CN"/>
                <w14:textFill>
                  <w14:solidFill>
                    <w14:schemeClr w14:val="tx1"/>
                  </w14:solidFill>
                </w14:textFill>
              </w:rPr>
              <w:t>市</w:t>
            </w:r>
            <w:r>
              <w:rPr>
                <w:rFonts w:hint="eastAsia" w:ascii="仿宋_GB2312" w:hAnsi="宋体" w:eastAsia="仿宋_GB2312" w:cs="宋体"/>
                <w:color w:val="000000" w:themeColor="text1"/>
                <w:kern w:val="0"/>
                <w:sz w:val="21"/>
                <w:szCs w:val="21"/>
                <w:u w:val="none"/>
                <w14:textFill>
                  <w14:solidFill>
                    <w14:schemeClr w14:val="tx1"/>
                  </w14:solidFill>
                </w14:textFill>
              </w:rPr>
              <w:t>厅级</w:t>
            </w:r>
          </w:p>
        </w:tc>
        <w:tc>
          <w:tcPr>
            <w:tcW w:w="1070" w:type="dxa"/>
            <w:tcBorders>
              <w:top w:val="single" w:color="auto" w:sz="4" w:space="0"/>
              <w:bottom w:val="single" w:color="auto" w:sz="4" w:space="0"/>
            </w:tcBorders>
            <w:noWrap w:val="0"/>
            <w:vAlign w:val="center"/>
          </w:tcPr>
          <w:p>
            <w:pPr>
              <w:widowControl/>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pPr>
            <w:r>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t>6</w:t>
            </w:r>
          </w:p>
        </w:tc>
        <w:tc>
          <w:tcPr>
            <w:tcW w:w="1568" w:type="dxa"/>
            <w:tcBorders>
              <w:top w:val="single" w:color="auto" w:sz="4" w:space="0"/>
              <w:bottom w:val="single" w:color="auto" w:sz="4" w:space="0"/>
            </w:tcBorders>
            <w:noWrap w:val="0"/>
            <w:vAlign w:val="center"/>
          </w:tcPr>
          <w:p>
            <w:pPr>
              <w:widowControl/>
              <w:rPr>
                <w:rFonts w:hint="default" w:ascii="仿宋_GB2312" w:hAnsi="宋体" w:eastAsia="仿宋_GB2312" w:cs="宋体"/>
                <w:color w:val="000000" w:themeColor="text1"/>
                <w:kern w:val="0"/>
                <w:sz w:val="21"/>
                <w:szCs w:val="21"/>
                <w:u w:val="none"/>
                <w:lang w:val="en-US" w:eastAsia="zh-CN"/>
                <w14:textFill>
                  <w14:solidFill>
                    <w14:schemeClr w14:val="tx1"/>
                  </w14:solidFill>
                </w14:textFill>
              </w:rPr>
            </w:pPr>
            <w:r>
              <w:rPr>
                <w:rFonts w:hint="eastAsia" w:ascii="宋体" w:hAnsi="宋体" w:eastAsia="宋体" w:cs="宋体"/>
                <w:color w:val="000000" w:themeColor="text1"/>
                <w:kern w:val="0"/>
                <w:sz w:val="20"/>
                <w:szCs w:val="20"/>
                <w:u w:val="none"/>
                <w:lang w:val="en-US" w:eastAsia="zh-CN" w:bidi="ar"/>
                <w14:textFill>
                  <w14:solidFill>
                    <w14:schemeClr w14:val="tx1"/>
                  </w14:solidFill>
                </w14:textFill>
              </w:rPr>
              <w:t>★</w:t>
            </w:r>
            <w:r>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t>10-15</w:t>
            </w:r>
          </w:p>
        </w:tc>
      </w:tr>
      <w:tr>
        <w:tblPrEx>
          <w:tblBorders>
            <w:top w:val="single" w:color="333333" w:sz="4" w:space="0"/>
            <w:left w:val="single" w:color="333333" w:sz="4" w:space="0"/>
            <w:bottom w:val="single" w:color="333333" w:sz="4" w:space="0"/>
            <w:right w:val="single" w:color="333333" w:sz="4" w:space="0"/>
            <w:insideH w:val="single" w:color="333333" w:sz="4" w:space="0"/>
            <w:insideV w:val="single" w:color="333333" w:sz="4" w:space="0"/>
          </w:tblBorders>
          <w:tblCellMar>
            <w:top w:w="0" w:type="dxa"/>
            <w:left w:w="108" w:type="dxa"/>
            <w:bottom w:w="0" w:type="dxa"/>
            <w:right w:w="108" w:type="dxa"/>
          </w:tblCellMar>
        </w:tblPrEx>
        <w:trPr>
          <w:trHeight w:val="197" w:hRule="atLeast"/>
          <w:jc w:val="center"/>
        </w:trPr>
        <w:tc>
          <w:tcPr>
            <w:tcW w:w="469" w:type="dxa"/>
            <w:vMerge w:val="continue"/>
            <w:noWrap w:val="0"/>
            <w:vAlign w:val="center"/>
          </w:tcPr>
          <w:p>
            <w:pPr>
              <w:widowControl/>
              <w:jc w:val="center"/>
              <w:rPr>
                <w:rFonts w:hint="eastAsia" w:ascii="仿宋_GB2312" w:hAnsi="宋体" w:eastAsia="仿宋_GB2312" w:cs="宋体"/>
                <w:color w:val="000000" w:themeColor="text1"/>
                <w:kern w:val="0"/>
                <w:sz w:val="21"/>
                <w:szCs w:val="21"/>
                <w:u w:val="none"/>
                <w14:textFill>
                  <w14:solidFill>
                    <w14:schemeClr w14:val="tx1"/>
                  </w14:solidFill>
                </w14:textFill>
              </w:rPr>
            </w:pPr>
          </w:p>
        </w:tc>
        <w:tc>
          <w:tcPr>
            <w:tcW w:w="3180" w:type="dxa"/>
            <w:gridSpan w:val="2"/>
            <w:vMerge w:val="restart"/>
            <w:tcBorders>
              <w:right w:val="single" w:color="auto" w:sz="4" w:space="0"/>
            </w:tcBorders>
            <w:noWrap w:val="0"/>
            <w:vAlign w:val="center"/>
          </w:tcPr>
          <w:p>
            <w:pPr>
              <w:widowControl/>
              <w:spacing w:line="240" w:lineRule="exact"/>
              <w:rPr>
                <w:rFonts w:hint="eastAsia" w:ascii="仿宋_GB2312" w:hAnsi="宋体" w:eastAsia="仿宋_GB2312" w:cs="宋体"/>
                <w:color w:val="000000" w:themeColor="text1"/>
                <w:kern w:val="0"/>
                <w:sz w:val="21"/>
                <w:szCs w:val="21"/>
                <w:u w:val="none"/>
                <w:lang w:eastAsia="zh-CN"/>
                <w14:textFill>
                  <w14:solidFill>
                    <w14:schemeClr w14:val="tx1"/>
                  </w14:solidFill>
                </w14:textFill>
              </w:rPr>
            </w:pPr>
            <w:r>
              <w:rPr>
                <w:rFonts w:hint="eastAsia" w:ascii="仿宋_GB2312" w:hAnsi="宋体" w:eastAsia="仿宋_GB2312" w:cs="宋体"/>
                <w:color w:val="000000" w:themeColor="text1"/>
                <w:kern w:val="0"/>
                <w:sz w:val="21"/>
                <w:szCs w:val="21"/>
                <w:u w:val="none"/>
                <w:lang w:eastAsia="zh-CN"/>
                <w14:textFill>
                  <w14:solidFill>
                    <w14:schemeClr w14:val="tx1"/>
                  </w14:solidFill>
                </w14:textFill>
              </w:rPr>
              <w:t>产学研合作平台（个）</w:t>
            </w:r>
          </w:p>
        </w:tc>
        <w:tc>
          <w:tcPr>
            <w:tcW w:w="3435" w:type="dxa"/>
            <w:tcBorders>
              <w:top w:val="single" w:color="auto" w:sz="4" w:space="0"/>
              <w:left w:val="single" w:color="auto" w:sz="4" w:space="0"/>
              <w:bottom w:val="single" w:color="auto" w:sz="4" w:space="0"/>
            </w:tcBorders>
            <w:noWrap w:val="0"/>
            <w:vAlign w:val="center"/>
          </w:tcPr>
          <w:p>
            <w:pPr>
              <w:widowControl/>
              <w:spacing w:line="240" w:lineRule="exact"/>
              <w:rPr>
                <w:rFonts w:hint="eastAsia" w:ascii="仿宋_GB2312" w:hAnsi="宋体" w:eastAsia="仿宋_GB2312" w:cs="宋体"/>
                <w:color w:val="000000" w:themeColor="text1"/>
                <w:kern w:val="0"/>
                <w:sz w:val="21"/>
                <w:szCs w:val="21"/>
                <w:u w:val="none"/>
                <w14:textFill>
                  <w14:solidFill>
                    <w14:schemeClr w14:val="tx1"/>
                  </w14:solidFill>
                </w14:textFill>
              </w:rPr>
            </w:pPr>
            <w:r>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t>河南省产业技术创新战略联盟</w:t>
            </w:r>
          </w:p>
        </w:tc>
        <w:tc>
          <w:tcPr>
            <w:tcW w:w="1070" w:type="dxa"/>
            <w:tcBorders>
              <w:top w:val="single" w:color="auto" w:sz="4" w:space="0"/>
              <w:bottom w:val="single" w:color="auto" w:sz="4" w:space="0"/>
            </w:tcBorders>
            <w:noWrap w:val="0"/>
            <w:vAlign w:val="center"/>
          </w:tcPr>
          <w:p>
            <w:pPr>
              <w:widowControl/>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pPr>
            <w:r>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t>5</w:t>
            </w:r>
          </w:p>
        </w:tc>
        <w:tc>
          <w:tcPr>
            <w:tcW w:w="1568" w:type="dxa"/>
            <w:tcBorders>
              <w:top w:val="single" w:color="auto" w:sz="4" w:space="0"/>
              <w:bottom w:val="single" w:color="auto" w:sz="4" w:space="0"/>
            </w:tcBorders>
            <w:noWrap w:val="0"/>
            <w:vAlign w:val="center"/>
          </w:tcPr>
          <w:p>
            <w:pPr>
              <w:widowControl/>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pPr>
            <w:r>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t>6</w:t>
            </w:r>
          </w:p>
        </w:tc>
      </w:tr>
      <w:tr>
        <w:tblPrEx>
          <w:tblBorders>
            <w:top w:val="single" w:color="333333" w:sz="4" w:space="0"/>
            <w:left w:val="single" w:color="333333" w:sz="4" w:space="0"/>
            <w:bottom w:val="single" w:color="333333" w:sz="4" w:space="0"/>
            <w:right w:val="single" w:color="333333" w:sz="4" w:space="0"/>
            <w:insideH w:val="single" w:color="333333" w:sz="4" w:space="0"/>
            <w:insideV w:val="single" w:color="333333" w:sz="4" w:space="0"/>
          </w:tblBorders>
          <w:tblCellMar>
            <w:top w:w="0" w:type="dxa"/>
            <w:left w:w="108" w:type="dxa"/>
            <w:bottom w:w="0" w:type="dxa"/>
            <w:right w:w="108" w:type="dxa"/>
          </w:tblCellMar>
        </w:tblPrEx>
        <w:trPr>
          <w:trHeight w:val="266" w:hRule="atLeast"/>
          <w:jc w:val="center"/>
        </w:trPr>
        <w:tc>
          <w:tcPr>
            <w:tcW w:w="469" w:type="dxa"/>
            <w:vMerge w:val="continue"/>
            <w:noWrap w:val="0"/>
            <w:vAlign w:val="center"/>
          </w:tcPr>
          <w:p>
            <w:pPr>
              <w:widowControl/>
              <w:jc w:val="center"/>
              <w:rPr>
                <w:rFonts w:hint="eastAsia" w:ascii="仿宋_GB2312" w:hAnsi="宋体" w:eastAsia="仿宋_GB2312" w:cs="宋体"/>
                <w:color w:val="000000" w:themeColor="text1"/>
                <w:kern w:val="0"/>
                <w:sz w:val="21"/>
                <w:szCs w:val="21"/>
                <w:u w:val="none"/>
                <w14:textFill>
                  <w14:solidFill>
                    <w14:schemeClr w14:val="tx1"/>
                  </w14:solidFill>
                </w14:textFill>
              </w:rPr>
            </w:pPr>
          </w:p>
        </w:tc>
        <w:tc>
          <w:tcPr>
            <w:tcW w:w="3180" w:type="dxa"/>
            <w:gridSpan w:val="2"/>
            <w:vMerge w:val="continue"/>
            <w:tcBorders>
              <w:right w:val="single" w:color="auto" w:sz="4" w:space="0"/>
            </w:tcBorders>
            <w:noWrap w:val="0"/>
            <w:vAlign w:val="center"/>
          </w:tcPr>
          <w:p>
            <w:pPr>
              <w:widowControl/>
              <w:spacing w:line="240" w:lineRule="exact"/>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pPr>
          </w:p>
        </w:tc>
        <w:tc>
          <w:tcPr>
            <w:tcW w:w="3435" w:type="dxa"/>
            <w:tcBorders>
              <w:top w:val="single" w:color="auto" w:sz="4" w:space="0"/>
              <w:left w:val="single" w:color="auto" w:sz="4" w:space="0"/>
              <w:bottom w:val="single" w:color="auto" w:sz="4" w:space="0"/>
            </w:tcBorders>
            <w:noWrap w:val="0"/>
            <w:vAlign w:val="center"/>
          </w:tcPr>
          <w:p>
            <w:pPr>
              <w:widowControl/>
              <w:spacing w:line="240" w:lineRule="exact"/>
              <w:rPr>
                <w:rFonts w:hint="eastAsia" w:ascii="仿宋_GB2312" w:hAnsi="宋体" w:eastAsia="仿宋_GB2312" w:cs="宋体"/>
                <w:color w:val="000000" w:themeColor="text1"/>
                <w:kern w:val="0"/>
                <w:sz w:val="21"/>
                <w:szCs w:val="21"/>
                <w:u w:val="none"/>
                <w14:textFill>
                  <w14:solidFill>
                    <w14:schemeClr w14:val="tx1"/>
                  </w14:solidFill>
                </w14:textFill>
              </w:rPr>
            </w:pPr>
            <w:r>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t>与企（事）业单位共建产业学院</w:t>
            </w:r>
          </w:p>
        </w:tc>
        <w:tc>
          <w:tcPr>
            <w:tcW w:w="1070" w:type="dxa"/>
            <w:tcBorders>
              <w:top w:val="single" w:color="auto" w:sz="4" w:space="0"/>
              <w:bottom w:val="single" w:color="auto" w:sz="4" w:space="0"/>
            </w:tcBorders>
            <w:noWrap w:val="0"/>
            <w:vAlign w:val="center"/>
          </w:tcPr>
          <w:p>
            <w:pPr>
              <w:widowControl/>
              <w:rPr>
                <w:rFonts w:hint="default" w:ascii="仿宋_GB2312" w:hAnsi="宋体" w:eastAsia="仿宋_GB2312" w:cs="宋体"/>
                <w:color w:val="000000" w:themeColor="text1"/>
                <w:kern w:val="0"/>
                <w:sz w:val="21"/>
                <w:szCs w:val="21"/>
                <w:u w:val="none"/>
                <w:lang w:val="en-US" w:eastAsia="zh-CN"/>
                <w14:textFill>
                  <w14:solidFill>
                    <w14:schemeClr w14:val="tx1"/>
                  </w14:solidFill>
                </w14:textFill>
              </w:rPr>
            </w:pPr>
            <w:r>
              <w:rPr>
                <w:rFonts w:hint="eastAsia" w:ascii="仿宋_GB2312" w:hAnsi="宋体" w:eastAsia="仿宋_GB2312" w:cs="宋体"/>
                <w:color w:val="FF0000"/>
                <w:kern w:val="0"/>
                <w:sz w:val="21"/>
                <w:szCs w:val="21"/>
                <w:u w:val="none"/>
                <w:lang w:val="en-US" w:eastAsia="zh-CN"/>
              </w:rPr>
              <w:t>13</w:t>
            </w:r>
          </w:p>
        </w:tc>
        <w:tc>
          <w:tcPr>
            <w:tcW w:w="1568" w:type="dxa"/>
            <w:tcBorders>
              <w:top w:val="single" w:color="auto" w:sz="4" w:space="0"/>
              <w:bottom w:val="single" w:color="auto" w:sz="4" w:space="0"/>
            </w:tcBorders>
            <w:noWrap w:val="0"/>
            <w:vAlign w:val="center"/>
          </w:tcPr>
          <w:p>
            <w:pPr>
              <w:widowControl/>
              <w:rPr>
                <w:rFonts w:hint="default" w:ascii="仿宋_GB2312" w:hAnsi="宋体" w:eastAsia="仿宋_GB2312" w:cs="宋体"/>
                <w:color w:val="000000" w:themeColor="text1"/>
                <w:kern w:val="0"/>
                <w:sz w:val="21"/>
                <w:szCs w:val="21"/>
                <w:u w:val="none"/>
                <w:lang w:val="en-US" w:eastAsia="zh-CN"/>
                <w14:textFill>
                  <w14:solidFill>
                    <w14:schemeClr w14:val="tx1"/>
                  </w14:solidFill>
                </w14:textFill>
              </w:rPr>
            </w:pPr>
            <w:r>
              <w:rPr>
                <w:rFonts w:hint="eastAsia" w:ascii="宋体" w:hAnsi="宋体" w:eastAsia="宋体" w:cs="宋体"/>
                <w:color w:val="000000" w:themeColor="text1"/>
                <w:kern w:val="0"/>
                <w:sz w:val="20"/>
                <w:szCs w:val="20"/>
                <w:u w:val="none"/>
                <w:lang w:val="en-US" w:eastAsia="zh-CN" w:bidi="ar"/>
                <w14:textFill>
                  <w14:solidFill>
                    <w14:schemeClr w14:val="tx1"/>
                  </w14:solidFill>
                </w14:textFill>
              </w:rPr>
              <w:t>★</w:t>
            </w:r>
            <w:r>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t>10</w:t>
            </w:r>
          </w:p>
        </w:tc>
      </w:tr>
      <w:tr>
        <w:tblPrEx>
          <w:tblBorders>
            <w:top w:val="single" w:color="333333" w:sz="4" w:space="0"/>
            <w:left w:val="single" w:color="333333" w:sz="4" w:space="0"/>
            <w:bottom w:val="single" w:color="333333" w:sz="4" w:space="0"/>
            <w:right w:val="single" w:color="333333" w:sz="4" w:space="0"/>
            <w:insideH w:val="single" w:color="333333" w:sz="4" w:space="0"/>
            <w:insideV w:val="single" w:color="333333" w:sz="4" w:space="0"/>
          </w:tblBorders>
          <w:tblCellMar>
            <w:top w:w="0" w:type="dxa"/>
            <w:left w:w="108" w:type="dxa"/>
            <w:bottom w:w="0" w:type="dxa"/>
            <w:right w:w="108" w:type="dxa"/>
          </w:tblCellMar>
        </w:tblPrEx>
        <w:trPr>
          <w:trHeight w:val="340" w:hRule="atLeast"/>
          <w:jc w:val="center"/>
        </w:trPr>
        <w:tc>
          <w:tcPr>
            <w:tcW w:w="469" w:type="dxa"/>
            <w:vMerge w:val="restart"/>
            <w:noWrap w:val="0"/>
            <w:vAlign w:val="center"/>
          </w:tcPr>
          <w:p>
            <w:pPr>
              <w:widowControl/>
              <w:jc w:val="center"/>
              <w:rPr>
                <w:rFonts w:hint="eastAsia" w:ascii="仿宋_GB2312" w:hAnsi="宋体" w:eastAsia="仿宋_GB2312" w:cs="宋体"/>
                <w:b/>
                <w:bCs/>
                <w:color w:val="000000" w:themeColor="text1"/>
                <w:kern w:val="0"/>
                <w:sz w:val="21"/>
                <w:szCs w:val="21"/>
                <w:u w:val="none"/>
                <w:lang w:eastAsia="zh-CN"/>
                <w14:textFill>
                  <w14:solidFill>
                    <w14:schemeClr w14:val="tx1"/>
                  </w14:solidFill>
                </w14:textFill>
              </w:rPr>
            </w:pPr>
            <w:r>
              <w:rPr>
                <w:rFonts w:hint="eastAsia" w:ascii="仿宋_GB2312" w:hAnsi="宋体" w:eastAsia="仿宋_GB2312" w:cs="宋体"/>
                <w:b/>
                <w:bCs/>
                <w:color w:val="000000" w:themeColor="text1"/>
                <w:kern w:val="0"/>
                <w:sz w:val="21"/>
                <w:szCs w:val="21"/>
                <w:u w:val="none"/>
                <w:lang w:eastAsia="zh-CN"/>
                <w14:textFill>
                  <w14:solidFill>
                    <w14:schemeClr w14:val="tx1"/>
                  </w14:solidFill>
                </w14:textFill>
              </w:rPr>
              <w:t>办</w:t>
            </w:r>
          </w:p>
          <w:p>
            <w:pPr>
              <w:widowControl/>
              <w:jc w:val="center"/>
              <w:rPr>
                <w:rFonts w:hint="eastAsia" w:ascii="仿宋_GB2312" w:hAnsi="宋体" w:eastAsia="仿宋_GB2312" w:cs="宋体"/>
                <w:b/>
                <w:bCs/>
                <w:color w:val="000000" w:themeColor="text1"/>
                <w:kern w:val="0"/>
                <w:sz w:val="21"/>
                <w:szCs w:val="21"/>
                <w:u w:val="none"/>
                <w:lang w:eastAsia="zh-CN"/>
                <w14:textFill>
                  <w14:solidFill>
                    <w14:schemeClr w14:val="tx1"/>
                  </w14:solidFill>
                </w14:textFill>
              </w:rPr>
            </w:pPr>
            <w:r>
              <w:rPr>
                <w:rFonts w:hint="eastAsia" w:ascii="仿宋_GB2312" w:hAnsi="宋体" w:eastAsia="仿宋_GB2312" w:cs="宋体"/>
                <w:b/>
                <w:bCs/>
                <w:color w:val="000000" w:themeColor="text1"/>
                <w:kern w:val="0"/>
                <w:sz w:val="21"/>
                <w:szCs w:val="21"/>
                <w:u w:val="none"/>
                <w:lang w:eastAsia="zh-CN"/>
                <w14:textFill>
                  <w14:solidFill>
                    <w14:schemeClr w14:val="tx1"/>
                  </w14:solidFill>
                </w14:textFill>
              </w:rPr>
              <w:t>学</w:t>
            </w:r>
          </w:p>
          <w:p>
            <w:pPr>
              <w:widowControl/>
              <w:jc w:val="center"/>
              <w:rPr>
                <w:rFonts w:hint="eastAsia" w:ascii="仿宋_GB2312" w:hAnsi="宋体" w:eastAsia="仿宋_GB2312" w:cs="宋体"/>
                <w:b/>
                <w:bCs/>
                <w:color w:val="000000" w:themeColor="text1"/>
                <w:kern w:val="0"/>
                <w:sz w:val="21"/>
                <w:szCs w:val="21"/>
                <w:u w:val="none"/>
                <w:lang w:eastAsia="zh-CN"/>
                <w14:textFill>
                  <w14:solidFill>
                    <w14:schemeClr w14:val="tx1"/>
                  </w14:solidFill>
                </w14:textFill>
              </w:rPr>
            </w:pPr>
            <w:r>
              <w:rPr>
                <w:rFonts w:hint="eastAsia" w:ascii="仿宋_GB2312" w:hAnsi="宋体" w:eastAsia="仿宋_GB2312" w:cs="宋体"/>
                <w:b/>
                <w:bCs/>
                <w:color w:val="000000" w:themeColor="text1"/>
                <w:kern w:val="0"/>
                <w:sz w:val="21"/>
                <w:szCs w:val="21"/>
                <w:u w:val="none"/>
                <w:lang w:eastAsia="zh-CN"/>
                <w14:textFill>
                  <w14:solidFill>
                    <w14:schemeClr w14:val="tx1"/>
                  </w14:solidFill>
                </w14:textFill>
              </w:rPr>
              <w:t>条</w:t>
            </w:r>
          </w:p>
          <w:p>
            <w:pPr>
              <w:widowControl/>
              <w:jc w:val="center"/>
              <w:rPr>
                <w:rFonts w:hint="eastAsia" w:ascii="仿宋_GB2312" w:hAnsi="宋体" w:eastAsia="仿宋_GB2312" w:cs="宋体"/>
                <w:b/>
                <w:bCs/>
                <w:color w:val="000000" w:themeColor="text1"/>
                <w:kern w:val="0"/>
                <w:sz w:val="21"/>
                <w:szCs w:val="21"/>
                <w:u w:val="none"/>
                <w14:textFill>
                  <w14:solidFill>
                    <w14:schemeClr w14:val="tx1"/>
                  </w14:solidFill>
                </w14:textFill>
              </w:rPr>
            </w:pPr>
            <w:r>
              <w:rPr>
                <w:rFonts w:hint="eastAsia" w:ascii="仿宋_GB2312" w:hAnsi="宋体" w:eastAsia="仿宋_GB2312" w:cs="宋体"/>
                <w:b/>
                <w:bCs/>
                <w:color w:val="000000" w:themeColor="text1"/>
                <w:kern w:val="0"/>
                <w:sz w:val="21"/>
                <w:szCs w:val="21"/>
                <w:u w:val="none"/>
                <w:lang w:eastAsia="zh-CN"/>
                <w14:textFill>
                  <w14:solidFill>
                    <w14:schemeClr w14:val="tx1"/>
                  </w14:solidFill>
                </w14:textFill>
              </w:rPr>
              <w:t>件</w:t>
            </w:r>
          </w:p>
        </w:tc>
        <w:tc>
          <w:tcPr>
            <w:tcW w:w="6615" w:type="dxa"/>
            <w:gridSpan w:val="3"/>
            <w:noWrap w:val="0"/>
            <w:vAlign w:val="center"/>
          </w:tcPr>
          <w:p>
            <w:pPr>
              <w:widowControl/>
              <w:spacing w:line="240" w:lineRule="exact"/>
              <w:jc w:val="center"/>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pPr>
            <w:r>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t>学校占地面积（亩）</w:t>
            </w:r>
          </w:p>
        </w:tc>
        <w:tc>
          <w:tcPr>
            <w:tcW w:w="1070" w:type="dxa"/>
            <w:tcBorders>
              <w:top w:val="single" w:color="auto" w:sz="4" w:space="0"/>
              <w:bottom w:val="single" w:color="auto" w:sz="4" w:space="0"/>
            </w:tcBorders>
            <w:noWrap w:val="0"/>
            <w:vAlign w:val="center"/>
          </w:tcPr>
          <w:p>
            <w:pPr>
              <w:widowControl/>
              <w:rPr>
                <w:rFonts w:hint="default" w:ascii="仿宋_GB2312" w:hAnsi="宋体" w:eastAsia="仿宋_GB2312" w:cs="宋体"/>
                <w:color w:val="000000" w:themeColor="text1"/>
                <w:kern w:val="0"/>
                <w:sz w:val="21"/>
                <w:szCs w:val="21"/>
                <w:u w:val="none"/>
                <w:lang w:val="en-US" w:eastAsia="zh-CN"/>
                <w14:textFill>
                  <w14:solidFill>
                    <w14:schemeClr w14:val="tx1"/>
                  </w14:solidFill>
                </w14:textFill>
              </w:rPr>
            </w:pPr>
            <w:r>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t>818</w:t>
            </w:r>
          </w:p>
        </w:tc>
        <w:tc>
          <w:tcPr>
            <w:tcW w:w="1568" w:type="dxa"/>
            <w:tcBorders>
              <w:top w:val="single" w:color="auto" w:sz="4" w:space="0"/>
              <w:bottom w:val="single" w:color="auto" w:sz="4" w:space="0"/>
            </w:tcBorders>
            <w:noWrap w:val="0"/>
            <w:vAlign w:val="center"/>
          </w:tcPr>
          <w:p>
            <w:pPr>
              <w:widowControl/>
              <w:spacing w:line="240" w:lineRule="exact"/>
              <w:rPr>
                <w:rFonts w:hint="default" w:ascii="仿宋_GB2312" w:hAnsi="宋体" w:eastAsia="仿宋_GB2312" w:cs="宋体"/>
                <w:color w:val="000000" w:themeColor="text1"/>
                <w:kern w:val="0"/>
                <w:sz w:val="21"/>
                <w:szCs w:val="21"/>
                <w:u w:val="none"/>
                <w:lang w:val="en-US" w:eastAsia="zh-CN"/>
                <w14:textFill>
                  <w14:solidFill>
                    <w14:schemeClr w14:val="tx1"/>
                  </w14:solidFill>
                </w14:textFill>
              </w:rPr>
            </w:pPr>
            <w:r>
              <w:rPr>
                <w:rFonts w:hint="eastAsia" w:ascii="仿宋_GB2312" w:hAnsi="宋体" w:eastAsia="仿宋_GB2312" w:cs="宋体"/>
                <w:color w:val="0070C0"/>
                <w:kern w:val="0"/>
                <w:sz w:val="21"/>
                <w:szCs w:val="21"/>
                <w:u w:val="none"/>
                <w:lang w:val="en-US" w:eastAsia="zh-CN"/>
              </w:rPr>
              <w:t>1710</w:t>
            </w:r>
          </w:p>
        </w:tc>
      </w:tr>
      <w:tr>
        <w:tblPrEx>
          <w:tblBorders>
            <w:top w:val="single" w:color="333333" w:sz="4" w:space="0"/>
            <w:left w:val="single" w:color="333333" w:sz="4" w:space="0"/>
            <w:bottom w:val="single" w:color="333333" w:sz="4" w:space="0"/>
            <w:right w:val="single" w:color="333333" w:sz="4" w:space="0"/>
            <w:insideH w:val="single" w:color="333333" w:sz="4" w:space="0"/>
            <w:insideV w:val="single" w:color="333333" w:sz="4" w:space="0"/>
          </w:tblBorders>
          <w:tblCellMar>
            <w:top w:w="0" w:type="dxa"/>
            <w:left w:w="108" w:type="dxa"/>
            <w:bottom w:w="0" w:type="dxa"/>
            <w:right w:w="108" w:type="dxa"/>
          </w:tblCellMar>
        </w:tblPrEx>
        <w:trPr>
          <w:trHeight w:val="340" w:hRule="atLeast"/>
          <w:jc w:val="center"/>
        </w:trPr>
        <w:tc>
          <w:tcPr>
            <w:tcW w:w="469" w:type="dxa"/>
            <w:vMerge w:val="continue"/>
            <w:noWrap w:val="0"/>
            <w:vAlign w:val="center"/>
          </w:tcPr>
          <w:p>
            <w:pPr>
              <w:widowControl/>
              <w:jc w:val="center"/>
              <w:rPr>
                <w:rFonts w:hint="eastAsia" w:ascii="仿宋_GB2312" w:hAnsi="宋体" w:eastAsia="仿宋_GB2312" w:cs="宋体"/>
                <w:b/>
                <w:bCs/>
                <w:color w:val="000000" w:themeColor="text1"/>
                <w:kern w:val="0"/>
                <w:sz w:val="21"/>
                <w:szCs w:val="21"/>
                <w:u w:val="none"/>
                <w14:textFill>
                  <w14:solidFill>
                    <w14:schemeClr w14:val="tx1"/>
                  </w14:solidFill>
                </w14:textFill>
              </w:rPr>
            </w:pPr>
          </w:p>
        </w:tc>
        <w:tc>
          <w:tcPr>
            <w:tcW w:w="6615" w:type="dxa"/>
            <w:gridSpan w:val="3"/>
            <w:noWrap w:val="0"/>
            <w:vAlign w:val="center"/>
          </w:tcPr>
          <w:p>
            <w:pPr>
              <w:widowControl/>
              <w:spacing w:line="240" w:lineRule="exact"/>
              <w:jc w:val="center"/>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pPr>
            <w:r>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t>教学行政用房（万平方米）</w:t>
            </w:r>
          </w:p>
        </w:tc>
        <w:tc>
          <w:tcPr>
            <w:tcW w:w="1070" w:type="dxa"/>
            <w:tcBorders>
              <w:top w:val="single" w:color="auto" w:sz="4" w:space="0"/>
              <w:bottom w:val="single" w:color="auto" w:sz="4" w:space="0"/>
            </w:tcBorders>
            <w:noWrap w:val="0"/>
            <w:vAlign w:val="center"/>
          </w:tcPr>
          <w:p>
            <w:pPr>
              <w:widowControl/>
              <w:rPr>
                <w:rFonts w:hint="default" w:ascii="仿宋_GB2312" w:hAnsi="宋体" w:eastAsia="仿宋_GB2312" w:cs="宋体"/>
                <w:color w:val="000000" w:themeColor="text1"/>
                <w:kern w:val="0"/>
                <w:sz w:val="21"/>
                <w:szCs w:val="21"/>
                <w:u w:val="none"/>
                <w:lang w:val="en-US" w:eastAsia="zh-CN"/>
                <w14:textFill>
                  <w14:solidFill>
                    <w14:schemeClr w14:val="tx1"/>
                  </w14:solidFill>
                </w14:textFill>
              </w:rPr>
            </w:pPr>
            <w:r>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t>22.5</w:t>
            </w:r>
          </w:p>
        </w:tc>
        <w:tc>
          <w:tcPr>
            <w:tcW w:w="1568" w:type="dxa"/>
            <w:tcBorders>
              <w:top w:val="single" w:color="auto" w:sz="4" w:space="0"/>
              <w:bottom w:val="single" w:color="auto" w:sz="4" w:space="0"/>
            </w:tcBorders>
            <w:noWrap w:val="0"/>
            <w:vAlign w:val="center"/>
          </w:tcPr>
          <w:p>
            <w:pPr>
              <w:widowControl/>
              <w:spacing w:line="240" w:lineRule="exact"/>
              <w:rPr>
                <w:rFonts w:hint="default" w:ascii="仿宋_GB2312" w:hAnsi="宋体" w:eastAsia="仿宋_GB2312" w:cs="宋体"/>
                <w:color w:val="000000" w:themeColor="text1"/>
                <w:kern w:val="0"/>
                <w:sz w:val="21"/>
                <w:szCs w:val="21"/>
                <w:u w:val="none"/>
                <w:lang w:val="en-US" w:eastAsia="zh-CN"/>
                <w14:textFill>
                  <w14:solidFill>
                    <w14:schemeClr w14:val="tx1"/>
                  </w14:solidFill>
                </w14:textFill>
              </w:rPr>
            </w:pPr>
            <w:r>
              <w:rPr>
                <w:rFonts w:hint="eastAsia" w:ascii="仿宋_GB2312" w:hAnsi="宋体" w:eastAsia="仿宋_GB2312" w:cs="宋体"/>
                <w:color w:val="FF0000"/>
                <w:kern w:val="0"/>
                <w:sz w:val="21"/>
                <w:szCs w:val="21"/>
                <w:u w:val="none"/>
                <w:lang w:val="en-US" w:eastAsia="zh-CN"/>
              </w:rPr>
              <w:t>30.4</w:t>
            </w:r>
          </w:p>
        </w:tc>
      </w:tr>
      <w:tr>
        <w:tblPrEx>
          <w:tblBorders>
            <w:top w:val="single" w:color="333333" w:sz="4" w:space="0"/>
            <w:left w:val="single" w:color="333333" w:sz="4" w:space="0"/>
            <w:bottom w:val="single" w:color="333333" w:sz="4" w:space="0"/>
            <w:right w:val="single" w:color="333333" w:sz="4" w:space="0"/>
            <w:insideH w:val="single" w:color="333333" w:sz="4" w:space="0"/>
            <w:insideV w:val="single" w:color="333333" w:sz="4" w:space="0"/>
          </w:tblBorders>
          <w:tblCellMar>
            <w:top w:w="0" w:type="dxa"/>
            <w:left w:w="108" w:type="dxa"/>
            <w:bottom w:w="0" w:type="dxa"/>
            <w:right w:w="108" w:type="dxa"/>
          </w:tblCellMar>
        </w:tblPrEx>
        <w:trPr>
          <w:trHeight w:val="197" w:hRule="atLeast"/>
          <w:jc w:val="center"/>
        </w:trPr>
        <w:tc>
          <w:tcPr>
            <w:tcW w:w="469" w:type="dxa"/>
            <w:vMerge w:val="continue"/>
            <w:noWrap w:val="0"/>
            <w:vAlign w:val="center"/>
          </w:tcPr>
          <w:p>
            <w:pPr>
              <w:widowControl/>
              <w:jc w:val="center"/>
              <w:rPr>
                <w:rFonts w:hint="eastAsia" w:ascii="仿宋_GB2312" w:hAnsi="宋体" w:eastAsia="仿宋_GB2312" w:cs="宋体"/>
                <w:b/>
                <w:bCs/>
                <w:color w:val="000000" w:themeColor="text1"/>
                <w:kern w:val="0"/>
                <w:sz w:val="21"/>
                <w:szCs w:val="21"/>
                <w:u w:val="none"/>
                <w14:textFill>
                  <w14:solidFill>
                    <w14:schemeClr w14:val="tx1"/>
                  </w14:solidFill>
                </w14:textFill>
              </w:rPr>
            </w:pPr>
          </w:p>
        </w:tc>
        <w:tc>
          <w:tcPr>
            <w:tcW w:w="6615" w:type="dxa"/>
            <w:gridSpan w:val="3"/>
            <w:noWrap w:val="0"/>
            <w:vAlign w:val="center"/>
          </w:tcPr>
          <w:p>
            <w:pPr>
              <w:widowControl/>
              <w:spacing w:line="240" w:lineRule="exact"/>
              <w:jc w:val="center"/>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pPr>
            <w:r>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t>教学仪器设备总值（亿元）</w:t>
            </w:r>
          </w:p>
        </w:tc>
        <w:tc>
          <w:tcPr>
            <w:tcW w:w="1070" w:type="dxa"/>
            <w:tcBorders>
              <w:top w:val="single" w:color="auto" w:sz="4" w:space="0"/>
              <w:bottom w:val="single" w:color="auto" w:sz="4" w:space="0"/>
            </w:tcBorders>
            <w:noWrap w:val="0"/>
            <w:vAlign w:val="center"/>
          </w:tcPr>
          <w:p>
            <w:pPr>
              <w:widowControl/>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pPr>
            <w:r>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t>1.3</w:t>
            </w:r>
          </w:p>
        </w:tc>
        <w:tc>
          <w:tcPr>
            <w:tcW w:w="1568" w:type="dxa"/>
            <w:tcBorders>
              <w:top w:val="single" w:color="auto" w:sz="4" w:space="0"/>
              <w:bottom w:val="single" w:color="auto" w:sz="4" w:space="0"/>
            </w:tcBorders>
            <w:noWrap w:val="0"/>
            <w:vAlign w:val="center"/>
          </w:tcPr>
          <w:p>
            <w:pPr>
              <w:widowControl/>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pPr>
            <w:r>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t>2</w:t>
            </w:r>
          </w:p>
        </w:tc>
      </w:tr>
      <w:tr>
        <w:tblPrEx>
          <w:tblBorders>
            <w:top w:val="single" w:color="333333" w:sz="4" w:space="0"/>
            <w:left w:val="single" w:color="333333" w:sz="4" w:space="0"/>
            <w:bottom w:val="single" w:color="333333" w:sz="4" w:space="0"/>
            <w:right w:val="single" w:color="333333" w:sz="4" w:space="0"/>
            <w:insideH w:val="single" w:color="333333" w:sz="4" w:space="0"/>
            <w:insideV w:val="single" w:color="333333" w:sz="4" w:space="0"/>
          </w:tblBorders>
          <w:tblCellMar>
            <w:top w:w="0" w:type="dxa"/>
            <w:left w:w="108" w:type="dxa"/>
            <w:bottom w:w="0" w:type="dxa"/>
            <w:right w:w="108" w:type="dxa"/>
          </w:tblCellMar>
        </w:tblPrEx>
        <w:trPr>
          <w:trHeight w:val="197" w:hRule="atLeast"/>
          <w:jc w:val="center"/>
        </w:trPr>
        <w:tc>
          <w:tcPr>
            <w:tcW w:w="469" w:type="dxa"/>
            <w:vMerge w:val="continue"/>
            <w:noWrap w:val="0"/>
            <w:vAlign w:val="center"/>
          </w:tcPr>
          <w:p>
            <w:pPr>
              <w:widowControl/>
              <w:jc w:val="center"/>
              <w:rPr>
                <w:rFonts w:hint="eastAsia" w:ascii="仿宋_GB2312" w:hAnsi="宋体" w:eastAsia="仿宋_GB2312" w:cs="宋体"/>
                <w:b/>
                <w:bCs/>
                <w:color w:val="000000" w:themeColor="text1"/>
                <w:kern w:val="0"/>
                <w:sz w:val="21"/>
                <w:szCs w:val="21"/>
                <w:u w:val="none"/>
                <w14:textFill>
                  <w14:solidFill>
                    <w14:schemeClr w14:val="tx1"/>
                  </w14:solidFill>
                </w14:textFill>
              </w:rPr>
            </w:pPr>
          </w:p>
        </w:tc>
        <w:tc>
          <w:tcPr>
            <w:tcW w:w="2855" w:type="dxa"/>
            <w:vMerge w:val="restart"/>
            <w:noWrap w:val="0"/>
            <w:vAlign w:val="center"/>
          </w:tcPr>
          <w:p>
            <w:pPr>
              <w:widowControl/>
              <w:spacing w:line="240" w:lineRule="exact"/>
              <w:jc w:val="center"/>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pPr>
            <w:r>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t>图书资料（万册）</w:t>
            </w:r>
          </w:p>
        </w:tc>
        <w:tc>
          <w:tcPr>
            <w:tcW w:w="3760" w:type="dxa"/>
            <w:gridSpan w:val="2"/>
            <w:noWrap w:val="0"/>
            <w:vAlign w:val="center"/>
          </w:tcPr>
          <w:p>
            <w:pPr>
              <w:widowControl/>
              <w:spacing w:line="240" w:lineRule="exact"/>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pPr>
            <w:r>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t>纸质图书</w:t>
            </w:r>
          </w:p>
        </w:tc>
        <w:tc>
          <w:tcPr>
            <w:tcW w:w="1070" w:type="dxa"/>
            <w:tcBorders>
              <w:top w:val="single" w:color="auto" w:sz="4" w:space="0"/>
              <w:bottom w:val="single" w:color="auto" w:sz="4" w:space="0"/>
            </w:tcBorders>
            <w:noWrap w:val="0"/>
            <w:vAlign w:val="center"/>
          </w:tcPr>
          <w:p>
            <w:pPr>
              <w:widowControl/>
              <w:rPr>
                <w:rFonts w:hint="default" w:ascii="仿宋_GB2312" w:hAnsi="宋体" w:eastAsia="仿宋_GB2312" w:cs="宋体"/>
                <w:color w:val="000000" w:themeColor="text1"/>
                <w:kern w:val="0"/>
                <w:sz w:val="21"/>
                <w:szCs w:val="21"/>
                <w:u w:val="none"/>
                <w:lang w:val="en-US" w:eastAsia="zh-CN"/>
                <w14:textFill>
                  <w14:solidFill>
                    <w14:schemeClr w14:val="tx1"/>
                  </w14:solidFill>
                </w14:textFill>
              </w:rPr>
            </w:pPr>
            <w:r>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t>155.4</w:t>
            </w:r>
          </w:p>
        </w:tc>
        <w:tc>
          <w:tcPr>
            <w:tcW w:w="1568" w:type="dxa"/>
            <w:tcBorders>
              <w:top w:val="single" w:color="auto" w:sz="4" w:space="0"/>
              <w:bottom w:val="single" w:color="auto" w:sz="4" w:space="0"/>
            </w:tcBorders>
            <w:noWrap w:val="0"/>
            <w:vAlign w:val="center"/>
          </w:tcPr>
          <w:p>
            <w:pPr>
              <w:widowControl/>
              <w:rPr>
                <w:rFonts w:hint="default" w:ascii="仿宋_GB2312" w:hAnsi="宋体" w:eastAsia="仿宋_GB2312" w:cs="宋体"/>
                <w:color w:val="000000" w:themeColor="text1"/>
                <w:kern w:val="0"/>
                <w:sz w:val="21"/>
                <w:szCs w:val="21"/>
                <w:u w:val="none"/>
                <w:lang w:val="en-US" w:eastAsia="zh-CN"/>
                <w14:textFill>
                  <w14:solidFill>
                    <w14:schemeClr w14:val="tx1"/>
                  </w14:solidFill>
                </w14:textFill>
              </w:rPr>
            </w:pPr>
            <w:r>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t>200</w:t>
            </w:r>
          </w:p>
        </w:tc>
      </w:tr>
      <w:tr>
        <w:tblPrEx>
          <w:tblBorders>
            <w:top w:val="single" w:color="333333" w:sz="4" w:space="0"/>
            <w:left w:val="single" w:color="333333" w:sz="4" w:space="0"/>
            <w:bottom w:val="single" w:color="333333" w:sz="4" w:space="0"/>
            <w:right w:val="single" w:color="333333" w:sz="4" w:space="0"/>
            <w:insideH w:val="single" w:color="333333" w:sz="4" w:space="0"/>
            <w:insideV w:val="single" w:color="333333" w:sz="4" w:space="0"/>
          </w:tblBorders>
          <w:tblCellMar>
            <w:top w:w="0" w:type="dxa"/>
            <w:left w:w="108" w:type="dxa"/>
            <w:bottom w:w="0" w:type="dxa"/>
            <w:right w:w="108" w:type="dxa"/>
          </w:tblCellMar>
        </w:tblPrEx>
        <w:trPr>
          <w:trHeight w:val="322" w:hRule="atLeast"/>
          <w:jc w:val="center"/>
        </w:trPr>
        <w:tc>
          <w:tcPr>
            <w:tcW w:w="469" w:type="dxa"/>
            <w:vMerge w:val="continue"/>
            <w:noWrap w:val="0"/>
            <w:vAlign w:val="center"/>
          </w:tcPr>
          <w:p>
            <w:pPr>
              <w:widowControl/>
              <w:jc w:val="center"/>
              <w:rPr>
                <w:rFonts w:hint="eastAsia" w:ascii="仿宋_GB2312" w:hAnsi="宋体" w:eastAsia="仿宋_GB2312" w:cs="宋体"/>
                <w:b/>
                <w:bCs/>
                <w:color w:val="000000" w:themeColor="text1"/>
                <w:kern w:val="0"/>
                <w:sz w:val="21"/>
                <w:szCs w:val="21"/>
                <w:u w:val="none"/>
                <w14:textFill>
                  <w14:solidFill>
                    <w14:schemeClr w14:val="tx1"/>
                  </w14:solidFill>
                </w14:textFill>
              </w:rPr>
            </w:pPr>
          </w:p>
        </w:tc>
        <w:tc>
          <w:tcPr>
            <w:tcW w:w="2855" w:type="dxa"/>
            <w:vMerge w:val="continue"/>
            <w:noWrap w:val="0"/>
            <w:vAlign w:val="center"/>
          </w:tcPr>
          <w:p>
            <w:pPr>
              <w:widowControl/>
              <w:spacing w:line="240" w:lineRule="exact"/>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pPr>
          </w:p>
        </w:tc>
        <w:tc>
          <w:tcPr>
            <w:tcW w:w="3760" w:type="dxa"/>
            <w:gridSpan w:val="2"/>
            <w:noWrap w:val="0"/>
            <w:vAlign w:val="center"/>
          </w:tcPr>
          <w:p>
            <w:pPr>
              <w:widowControl/>
              <w:spacing w:line="240" w:lineRule="exact"/>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pPr>
            <w:r>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t>电子图书</w:t>
            </w:r>
          </w:p>
        </w:tc>
        <w:tc>
          <w:tcPr>
            <w:tcW w:w="1070" w:type="dxa"/>
            <w:tcBorders>
              <w:top w:val="single" w:color="auto" w:sz="4" w:space="0"/>
              <w:bottom w:val="single" w:color="auto" w:sz="4" w:space="0"/>
            </w:tcBorders>
            <w:noWrap w:val="0"/>
            <w:vAlign w:val="center"/>
          </w:tcPr>
          <w:p>
            <w:pPr>
              <w:widowControl/>
              <w:rPr>
                <w:rFonts w:hint="default" w:ascii="仿宋_GB2312" w:hAnsi="宋体" w:eastAsia="仿宋_GB2312" w:cs="宋体"/>
                <w:color w:val="000000" w:themeColor="text1"/>
                <w:kern w:val="0"/>
                <w:sz w:val="21"/>
                <w:szCs w:val="21"/>
                <w:u w:val="none"/>
                <w:lang w:val="en-US" w:eastAsia="zh-CN"/>
                <w14:textFill>
                  <w14:solidFill>
                    <w14:schemeClr w14:val="tx1"/>
                  </w14:solidFill>
                </w14:textFill>
              </w:rPr>
            </w:pPr>
            <w:r>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t>61.7</w:t>
            </w:r>
          </w:p>
        </w:tc>
        <w:tc>
          <w:tcPr>
            <w:tcW w:w="1568" w:type="dxa"/>
            <w:tcBorders>
              <w:top w:val="single" w:color="auto" w:sz="4" w:space="0"/>
              <w:bottom w:val="single" w:color="auto" w:sz="4" w:space="0"/>
            </w:tcBorders>
            <w:noWrap w:val="0"/>
            <w:vAlign w:val="center"/>
          </w:tcPr>
          <w:p>
            <w:pPr>
              <w:widowControl/>
              <w:rPr>
                <w:rFonts w:hint="default" w:ascii="仿宋_GB2312" w:hAnsi="宋体" w:eastAsia="仿宋_GB2312" w:cs="宋体"/>
                <w:color w:val="000000" w:themeColor="text1"/>
                <w:kern w:val="0"/>
                <w:sz w:val="21"/>
                <w:szCs w:val="21"/>
                <w:u w:val="none"/>
                <w:lang w:val="en-US" w:eastAsia="zh-CN"/>
                <w14:textFill>
                  <w14:solidFill>
                    <w14:schemeClr w14:val="tx1"/>
                  </w14:solidFill>
                </w14:textFill>
              </w:rPr>
            </w:pPr>
            <w:r>
              <w:rPr>
                <w:rFonts w:hint="eastAsia" w:ascii="宋体" w:hAnsi="宋体" w:eastAsia="宋体" w:cs="宋体"/>
                <w:color w:val="000000" w:themeColor="text1"/>
                <w:kern w:val="0"/>
                <w:sz w:val="20"/>
                <w:szCs w:val="20"/>
                <w:u w:val="none"/>
                <w:lang w:val="en-US" w:eastAsia="zh-CN" w:bidi="ar"/>
                <w14:textFill>
                  <w14:solidFill>
                    <w14:schemeClr w14:val="tx1"/>
                  </w14:solidFill>
                </w14:textFill>
              </w:rPr>
              <w:t>★</w:t>
            </w:r>
            <w:r>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t>50</w:t>
            </w:r>
          </w:p>
        </w:tc>
      </w:tr>
      <w:tr>
        <w:tblPrEx>
          <w:tblBorders>
            <w:top w:val="single" w:color="333333" w:sz="4" w:space="0"/>
            <w:left w:val="single" w:color="333333" w:sz="4" w:space="0"/>
            <w:bottom w:val="single" w:color="333333" w:sz="4" w:space="0"/>
            <w:right w:val="single" w:color="333333" w:sz="4" w:space="0"/>
            <w:insideH w:val="single" w:color="333333" w:sz="4" w:space="0"/>
            <w:insideV w:val="single" w:color="333333" w:sz="4" w:space="0"/>
          </w:tblBorders>
          <w:tblCellMar>
            <w:top w:w="0" w:type="dxa"/>
            <w:left w:w="108" w:type="dxa"/>
            <w:bottom w:w="0" w:type="dxa"/>
            <w:right w:w="108" w:type="dxa"/>
          </w:tblCellMar>
        </w:tblPrEx>
        <w:trPr>
          <w:trHeight w:val="1228" w:hRule="atLeast"/>
          <w:jc w:val="center"/>
        </w:trPr>
        <w:tc>
          <w:tcPr>
            <w:tcW w:w="469" w:type="dxa"/>
            <w:noWrap w:val="0"/>
            <w:vAlign w:val="center"/>
          </w:tcPr>
          <w:p>
            <w:pPr>
              <w:widowControl/>
              <w:jc w:val="center"/>
              <w:rPr>
                <w:rFonts w:hint="eastAsia" w:ascii="仿宋_GB2312" w:hAnsi="宋体" w:eastAsia="仿宋_GB2312" w:cs="宋体"/>
                <w:b/>
                <w:bCs/>
                <w:color w:val="000000" w:themeColor="text1"/>
                <w:kern w:val="0"/>
                <w:sz w:val="21"/>
                <w:szCs w:val="21"/>
                <w:u w:val="none"/>
                <w:lang w:eastAsia="zh-CN"/>
                <w14:textFill>
                  <w14:solidFill>
                    <w14:schemeClr w14:val="tx1"/>
                  </w14:solidFill>
                </w14:textFill>
              </w:rPr>
            </w:pPr>
            <w:r>
              <w:rPr>
                <w:rFonts w:hint="eastAsia" w:ascii="仿宋_GB2312" w:hAnsi="宋体" w:eastAsia="仿宋_GB2312" w:cs="宋体"/>
                <w:b/>
                <w:bCs/>
                <w:color w:val="000000" w:themeColor="text1"/>
                <w:kern w:val="0"/>
                <w:sz w:val="21"/>
                <w:szCs w:val="21"/>
                <w:u w:val="none"/>
                <w:lang w:eastAsia="zh-CN"/>
                <w14:textFill>
                  <w14:solidFill>
                    <w14:schemeClr w14:val="tx1"/>
                  </w14:solidFill>
                </w14:textFill>
              </w:rPr>
              <w:t>开</w:t>
            </w:r>
          </w:p>
          <w:p>
            <w:pPr>
              <w:widowControl/>
              <w:jc w:val="center"/>
              <w:rPr>
                <w:rFonts w:hint="eastAsia" w:ascii="仿宋_GB2312" w:hAnsi="宋体" w:eastAsia="仿宋_GB2312" w:cs="宋体"/>
                <w:b/>
                <w:bCs/>
                <w:color w:val="000000" w:themeColor="text1"/>
                <w:kern w:val="0"/>
                <w:sz w:val="21"/>
                <w:szCs w:val="21"/>
                <w:u w:val="none"/>
                <w:lang w:eastAsia="zh-CN"/>
                <w14:textFill>
                  <w14:solidFill>
                    <w14:schemeClr w14:val="tx1"/>
                  </w14:solidFill>
                </w14:textFill>
              </w:rPr>
            </w:pPr>
            <w:r>
              <w:rPr>
                <w:rFonts w:hint="eastAsia" w:ascii="仿宋_GB2312" w:hAnsi="宋体" w:eastAsia="仿宋_GB2312" w:cs="宋体"/>
                <w:b/>
                <w:bCs/>
                <w:color w:val="000000" w:themeColor="text1"/>
                <w:kern w:val="0"/>
                <w:sz w:val="21"/>
                <w:szCs w:val="21"/>
                <w:u w:val="none"/>
                <w:lang w:eastAsia="zh-CN"/>
                <w14:textFill>
                  <w14:solidFill>
                    <w14:schemeClr w14:val="tx1"/>
                  </w14:solidFill>
                </w14:textFill>
              </w:rPr>
              <w:t>放</w:t>
            </w:r>
          </w:p>
          <w:p>
            <w:pPr>
              <w:widowControl/>
              <w:jc w:val="center"/>
              <w:rPr>
                <w:rFonts w:hint="eastAsia" w:ascii="仿宋_GB2312" w:hAnsi="宋体" w:eastAsia="仿宋_GB2312" w:cs="宋体"/>
                <w:b/>
                <w:bCs/>
                <w:color w:val="000000" w:themeColor="text1"/>
                <w:kern w:val="0"/>
                <w:sz w:val="21"/>
                <w:szCs w:val="21"/>
                <w:u w:val="none"/>
                <w:lang w:eastAsia="zh-CN"/>
                <w14:textFill>
                  <w14:solidFill>
                    <w14:schemeClr w14:val="tx1"/>
                  </w14:solidFill>
                </w14:textFill>
              </w:rPr>
            </w:pPr>
            <w:r>
              <w:rPr>
                <w:rFonts w:hint="eastAsia" w:ascii="仿宋_GB2312" w:hAnsi="宋体" w:eastAsia="仿宋_GB2312" w:cs="宋体"/>
                <w:b/>
                <w:bCs/>
                <w:color w:val="000000" w:themeColor="text1"/>
                <w:kern w:val="0"/>
                <w:sz w:val="21"/>
                <w:szCs w:val="21"/>
                <w:u w:val="none"/>
                <w:lang w:eastAsia="zh-CN"/>
                <w14:textFill>
                  <w14:solidFill>
                    <w14:schemeClr w14:val="tx1"/>
                  </w14:solidFill>
                </w14:textFill>
              </w:rPr>
              <w:t>办</w:t>
            </w:r>
          </w:p>
          <w:p>
            <w:pPr>
              <w:widowControl/>
              <w:jc w:val="center"/>
              <w:rPr>
                <w:rFonts w:hint="eastAsia" w:ascii="仿宋_GB2312" w:hAnsi="宋体" w:eastAsia="仿宋_GB2312" w:cs="宋体"/>
                <w:b/>
                <w:bCs/>
                <w:color w:val="000000" w:themeColor="text1"/>
                <w:kern w:val="0"/>
                <w:sz w:val="21"/>
                <w:szCs w:val="21"/>
                <w:u w:val="none"/>
                <w:lang w:eastAsia="zh-CN"/>
                <w14:textFill>
                  <w14:solidFill>
                    <w14:schemeClr w14:val="tx1"/>
                  </w14:solidFill>
                </w14:textFill>
              </w:rPr>
            </w:pPr>
            <w:r>
              <w:rPr>
                <w:rFonts w:hint="eastAsia" w:ascii="仿宋_GB2312" w:hAnsi="宋体" w:eastAsia="仿宋_GB2312" w:cs="宋体"/>
                <w:b/>
                <w:bCs/>
                <w:color w:val="000000" w:themeColor="text1"/>
                <w:kern w:val="0"/>
                <w:sz w:val="21"/>
                <w:szCs w:val="21"/>
                <w:u w:val="none"/>
                <w:lang w:eastAsia="zh-CN"/>
                <w14:textFill>
                  <w14:solidFill>
                    <w14:schemeClr w14:val="tx1"/>
                  </w14:solidFill>
                </w14:textFill>
              </w:rPr>
              <w:t>学</w:t>
            </w:r>
          </w:p>
        </w:tc>
        <w:tc>
          <w:tcPr>
            <w:tcW w:w="6615" w:type="dxa"/>
            <w:gridSpan w:val="3"/>
            <w:noWrap w:val="0"/>
            <w:vAlign w:val="center"/>
          </w:tcPr>
          <w:p>
            <w:pPr>
              <w:widowControl/>
              <w:jc w:val="center"/>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pPr>
            <w:r>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t>国（境）外合作学校（所）</w:t>
            </w:r>
          </w:p>
        </w:tc>
        <w:tc>
          <w:tcPr>
            <w:tcW w:w="1070" w:type="dxa"/>
            <w:tcBorders>
              <w:top w:val="single" w:color="auto" w:sz="4" w:space="0"/>
            </w:tcBorders>
            <w:noWrap w:val="0"/>
            <w:vAlign w:val="center"/>
          </w:tcPr>
          <w:p>
            <w:pPr>
              <w:widowControl/>
              <w:jc w:val="left"/>
              <w:rPr>
                <w:rFonts w:hint="default" w:ascii="仿宋_GB2312" w:hAnsi="宋体" w:eastAsia="仿宋_GB2312" w:cs="宋体"/>
                <w:color w:val="000000" w:themeColor="text1"/>
                <w:kern w:val="0"/>
                <w:sz w:val="21"/>
                <w:szCs w:val="21"/>
                <w:u w:val="none"/>
                <w:lang w:val="en-US" w:eastAsia="zh-CN"/>
                <w14:textFill>
                  <w14:solidFill>
                    <w14:schemeClr w14:val="tx1"/>
                  </w14:solidFill>
                </w14:textFill>
              </w:rPr>
            </w:pPr>
            <w:r>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t>10</w:t>
            </w:r>
          </w:p>
        </w:tc>
        <w:tc>
          <w:tcPr>
            <w:tcW w:w="1568" w:type="dxa"/>
            <w:tcBorders>
              <w:top w:val="single" w:color="auto" w:sz="4" w:space="0"/>
              <w:bottom w:val="single" w:color="auto" w:sz="4" w:space="0"/>
            </w:tcBorders>
            <w:noWrap w:val="0"/>
            <w:vAlign w:val="center"/>
          </w:tcPr>
          <w:p>
            <w:pPr>
              <w:widowControl/>
              <w:jc w:val="left"/>
              <w:rPr>
                <w:rFonts w:hint="default" w:ascii="仿宋_GB2312" w:hAnsi="宋体" w:eastAsia="仿宋_GB2312" w:cs="宋体"/>
                <w:color w:val="000000" w:themeColor="text1"/>
                <w:kern w:val="0"/>
                <w:sz w:val="21"/>
                <w:szCs w:val="21"/>
                <w:u w:val="none"/>
                <w:lang w:val="en-US" w:eastAsia="zh-CN"/>
                <w14:textFill>
                  <w14:solidFill>
                    <w14:schemeClr w14:val="tx1"/>
                  </w14:solidFill>
                </w14:textFill>
              </w:rPr>
            </w:pPr>
            <w:r>
              <w:rPr>
                <w:rFonts w:hint="eastAsia" w:ascii="仿宋_GB2312" w:hAnsi="宋体" w:eastAsia="仿宋_GB2312" w:cs="宋体"/>
                <w:color w:val="000000" w:themeColor="text1"/>
                <w:kern w:val="0"/>
                <w:sz w:val="21"/>
                <w:szCs w:val="21"/>
                <w:u w:val="none"/>
                <w:lang w:val="en-US" w:eastAsia="zh-CN"/>
                <w14:textFill>
                  <w14:solidFill>
                    <w14:schemeClr w14:val="tx1"/>
                  </w14:solidFill>
                </w14:textFill>
              </w:rPr>
              <w:t>12-15</w:t>
            </w:r>
          </w:p>
        </w:tc>
      </w:tr>
    </w:tbl>
    <w:p>
      <w:pPr>
        <w:keepNext w:val="0"/>
        <w:keepLines w:val="0"/>
        <w:widowControl/>
        <w:suppressLineNumbers w:val="0"/>
        <w:jc w:val="left"/>
        <w:rPr>
          <w:rFonts w:ascii="Calibri" w:hAnsi="Calibri" w:cs="Times New Roman"/>
          <w:color w:val="000000" w:themeColor="text1"/>
          <w:u w:val="none"/>
          <w14:textFill>
            <w14:solidFill>
              <w14:schemeClr w14:val="tx1"/>
            </w14:solidFill>
          </w14:textFill>
        </w:rPr>
      </w:pPr>
      <w:r>
        <w:rPr>
          <w:rFonts w:hint="eastAsia" w:ascii="Times New Roman" w:hAnsi="Times New Roman" w:cs="Times New Roman"/>
          <w:b/>
          <w:bCs/>
          <w:color w:val="000000" w:themeColor="text1"/>
          <w:kern w:val="0"/>
          <w:sz w:val="21"/>
          <w:szCs w:val="21"/>
          <w:u w:val="none"/>
          <w:lang w:val="en-US" w:eastAsia="zh-CN" w:bidi="ar"/>
          <w14:textFill>
            <w14:solidFill>
              <w14:schemeClr w14:val="tx1"/>
            </w14:solidFill>
          </w14:textFill>
        </w:rPr>
        <w:t>备注</w:t>
      </w:r>
      <w:r>
        <w:rPr>
          <w:rFonts w:hint="eastAsia" w:ascii="Times New Roman" w:hAnsi="Times New Roman" w:cs="Times New Roman"/>
          <w:color w:val="000000" w:themeColor="text1"/>
          <w:kern w:val="0"/>
          <w:sz w:val="21"/>
          <w:szCs w:val="21"/>
          <w:u w:val="none"/>
          <w:lang w:val="en-US" w:eastAsia="zh-CN" w:bidi="ar"/>
          <w14:textFill>
            <w14:solidFill>
              <w14:schemeClr w14:val="tx1"/>
            </w14:solidFill>
          </w14:textFill>
        </w:rPr>
        <w:t>：</w:t>
      </w:r>
      <w:r>
        <w:rPr>
          <w:rFonts w:hint="default" w:ascii="Times New Roman" w:hAnsi="Times New Roman" w:eastAsia="宋体" w:cs="Times New Roman"/>
          <w:color w:val="000000" w:themeColor="text1"/>
          <w:kern w:val="0"/>
          <w:sz w:val="21"/>
          <w:szCs w:val="21"/>
          <w:u w:val="none"/>
          <w:lang w:val="en-US" w:eastAsia="zh-CN" w:bidi="ar"/>
          <w14:textFill>
            <w14:solidFill>
              <w14:schemeClr w14:val="tx1"/>
            </w14:solidFill>
          </w14:textFill>
        </w:rPr>
        <w:t>“</w:t>
      </w:r>
      <w:r>
        <w:rPr>
          <w:rFonts w:hint="eastAsia" w:ascii="宋体" w:hAnsi="宋体" w:eastAsia="宋体" w:cs="宋体"/>
          <w:color w:val="000000" w:themeColor="text1"/>
          <w:kern w:val="0"/>
          <w:sz w:val="20"/>
          <w:szCs w:val="20"/>
          <w:u w:val="none"/>
          <w:lang w:val="en-US" w:eastAsia="zh-CN" w:bidi="ar"/>
          <w14:textFill>
            <w14:solidFill>
              <w14:schemeClr w14:val="tx1"/>
            </w14:solidFill>
          </w14:textFill>
        </w:rPr>
        <w:t>★</w:t>
      </w:r>
      <w:r>
        <w:rPr>
          <w:rFonts w:hint="default" w:ascii="Times New Roman" w:hAnsi="Times New Roman" w:eastAsia="宋体" w:cs="Times New Roman"/>
          <w:color w:val="000000" w:themeColor="text1"/>
          <w:kern w:val="0"/>
          <w:sz w:val="21"/>
          <w:szCs w:val="21"/>
          <w:u w:val="none"/>
          <w:lang w:val="en-US" w:eastAsia="zh-CN" w:bidi="ar"/>
          <w14:textFill>
            <w14:solidFill>
              <w14:schemeClr w14:val="tx1"/>
            </w14:solidFill>
          </w14:textFill>
        </w:rPr>
        <w:t>”</w:t>
      </w:r>
      <w:r>
        <w:rPr>
          <w:rFonts w:hint="eastAsia" w:ascii="宋体" w:hAnsi="宋体" w:eastAsia="宋体" w:cs="宋体"/>
          <w:color w:val="000000" w:themeColor="text1"/>
          <w:kern w:val="0"/>
          <w:sz w:val="21"/>
          <w:szCs w:val="21"/>
          <w:u w:val="none"/>
          <w:lang w:val="en-US" w:eastAsia="zh-CN" w:bidi="ar"/>
          <w14:textFill>
            <w14:solidFill>
              <w14:schemeClr w14:val="tx1"/>
            </w14:solidFill>
          </w14:textFill>
        </w:rPr>
        <w:t>标注为五年期间</w:t>
      </w:r>
      <w:r>
        <w:rPr>
          <w:rFonts w:hint="eastAsia" w:ascii="宋体" w:hAnsi="宋体" w:cs="宋体"/>
          <w:color w:val="000000" w:themeColor="text1"/>
          <w:kern w:val="0"/>
          <w:sz w:val="21"/>
          <w:szCs w:val="21"/>
          <w:u w:val="none"/>
          <w:lang w:val="en-US" w:eastAsia="zh-CN" w:bidi="ar"/>
          <w14:textFill>
            <w14:solidFill>
              <w14:schemeClr w14:val="tx1"/>
            </w14:solidFill>
          </w14:textFill>
        </w:rPr>
        <w:t>新增</w:t>
      </w:r>
      <w:r>
        <w:rPr>
          <w:rFonts w:hint="eastAsia" w:ascii="宋体" w:hAnsi="宋体" w:eastAsia="宋体" w:cs="宋体"/>
          <w:color w:val="000000" w:themeColor="text1"/>
          <w:kern w:val="0"/>
          <w:sz w:val="21"/>
          <w:szCs w:val="21"/>
          <w:u w:val="none"/>
          <w:lang w:val="en-US" w:eastAsia="zh-CN" w:bidi="ar"/>
          <w14:textFill>
            <w14:solidFill>
              <w14:schemeClr w14:val="tx1"/>
            </w14:solidFill>
          </w14:textFill>
        </w:rPr>
        <w:t>总数，未标注为五年</w:t>
      </w:r>
      <w:r>
        <w:rPr>
          <w:rFonts w:hint="eastAsia" w:ascii="宋体" w:hAnsi="宋体" w:eastAsia="宋体" w:cs="宋体"/>
          <w:color w:val="000000" w:themeColor="text1"/>
          <w:kern w:val="0"/>
          <w:sz w:val="21"/>
          <w:szCs w:val="21"/>
          <w:highlight w:val="none"/>
          <w:u w:val="none"/>
          <w:lang w:val="en-US" w:eastAsia="zh-CN" w:bidi="ar"/>
          <w14:textFill>
            <w14:solidFill>
              <w14:schemeClr w14:val="tx1"/>
            </w14:solidFill>
          </w14:textFill>
        </w:rPr>
        <w:t>末</w:t>
      </w:r>
      <w:r>
        <w:rPr>
          <w:rFonts w:hint="eastAsia" w:ascii="宋体" w:hAnsi="宋体" w:cs="宋体"/>
          <w:color w:val="000000" w:themeColor="text1"/>
          <w:kern w:val="0"/>
          <w:sz w:val="21"/>
          <w:szCs w:val="21"/>
          <w:u w:val="none"/>
          <w:lang w:val="en-US" w:eastAsia="zh-CN" w:bidi="ar"/>
          <w14:textFill>
            <w14:solidFill>
              <w14:schemeClr w14:val="tx1"/>
            </w14:solidFill>
          </w14:textFill>
        </w:rPr>
        <w:t>达到</w:t>
      </w:r>
      <w:r>
        <w:rPr>
          <w:rFonts w:hint="eastAsia" w:ascii="宋体" w:hAnsi="宋体" w:eastAsia="宋体" w:cs="宋体"/>
          <w:color w:val="000000" w:themeColor="text1"/>
          <w:kern w:val="0"/>
          <w:sz w:val="21"/>
          <w:szCs w:val="21"/>
          <w:u w:val="none"/>
          <w:lang w:val="en-US" w:eastAsia="zh-CN" w:bidi="ar"/>
          <w14:textFill>
            <w14:solidFill>
              <w14:schemeClr w14:val="tx1"/>
            </w14:solidFill>
          </w14:textFill>
        </w:rPr>
        <w:t>数值。</w:t>
      </w:r>
    </w:p>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auto"/>
        <w:rPr>
          <w:rFonts w:hint="eastAsia" w:ascii="仿宋" w:hAnsi="仿宋" w:eastAsia="仿宋" w:cs="仿宋"/>
          <w:color w:val="000000" w:themeColor="text1"/>
          <w:kern w:val="0"/>
          <w:sz w:val="28"/>
          <w:szCs w:val="28"/>
          <w:u w:val="none"/>
          <w:lang w:val="en-US" w:eastAsia="zh-CN"/>
          <w14:textFill>
            <w14:solidFill>
              <w14:schemeClr w14:val="tx1"/>
            </w14:solidFill>
          </w14:textFill>
        </w:rPr>
      </w:pPr>
    </w:p>
    <w:p>
      <w:pPr>
        <w:rPr>
          <w:color w:val="000000" w:themeColor="text1"/>
          <w:u w:val="none"/>
          <w14:textFill>
            <w14:solidFill>
              <w14:schemeClr w14:val="tx1"/>
            </w14:solidFill>
          </w14:textFill>
        </w:rPr>
      </w:pPr>
    </w:p>
    <w:p>
      <w:pPr>
        <w:rPr>
          <w:color w:val="000000" w:themeColor="text1"/>
          <w:u w:val="none"/>
          <w14:textFill>
            <w14:solidFill>
              <w14:schemeClr w14:val="tx1"/>
            </w14:solidFill>
          </w14:textFill>
        </w:rPr>
      </w:pPr>
    </w:p>
    <w:p/>
    <w:sectPr>
      <w:footerReference r:id="rId6" w:type="default"/>
      <w:pgSz w:w="11906" w:h="16838"/>
      <w:pgMar w:top="1440" w:right="1800" w:bottom="1440" w:left="1800"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大标宋简体">
    <w:altName w:val="微软雅黑"/>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LilsvdAgAAJAYAAA4AAABkcnMvZTJvRG9jLnhtbK1US27bMBDdF+gd&#10;CO4VSbbi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UuKWy90CAAAkBgAADgAAAAAAAAABACAAAAAfAQAAZHJzL2Uyb0RvYy54bWxQSwUG&#10;AAAAAAYABgBZAQAAbgY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809E6F"/>
    <w:multiLevelType w:val="singleLevel"/>
    <w:tmpl w:val="1F809E6F"/>
    <w:lvl w:ilvl="0" w:tentative="0">
      <w:start w:val="1"/>
      <w:numFmt w:val="chineseCounting"/>
      <w:suff w:val="nothing"/>
      <w:lvlText w:val="（%1）"/>
      <w:lvlJc w:val="left"/>
      <w:pPr>
        <w:ind w:left="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716CB3"/>
    <w:rsid w:val="016409A5"/>
    <w:rsid w:val="023146E3"/>
    <w:rsid w:val="03A92162"/>
    <w:rsid w:val="05132739"/>
    <w:rsid w:val="057D62E3"/>
    <w:rsid w:val="05E85DC8"/>
    <w:rsid w:val="07972DE8"/>
    <w:rsid w:val="0A075BCE"/>
    <w:rsid w:val="0A28781C"/>
    <w:rsid w:val="0C86108D"/>
    <w:rsid w:val="0D037A88"/>
    <w:rsid w:val="0FD23AB3"/>
    <w:rsid w:val="0FE40878"/>
    <w:rsid w:val="12766789"/>
    <w:rsid w:val="12E51C57"/>
    <w:rsid w:val="145908F7"/>
    <w:rsid w:val="16393188"/>
    <w:rsid w:val="16A61046"/>
    <w:rsid w:val="16FE5B07"/>
    <w:rsid w:val="188A4572"/>
    <w:rsid w:val="19A04230"/>
    <w:rsid w:val="1A325E1C"/>
    <w:rsid w:val="1A6E1BEA"/>
    <w:rsid w:val="1C430A48"/>
    <w:rsid w:val="1DC55E93"/>
    <w:rsid w:val="20F15F25"/>
    <w:rsid w:val="21F72F49"/>
    <w:rsid w:val="22652349"/>
    <w:rsid w:val="22C322B6"/>
    <w:rsid w:val="275D43DE"/>
    <w:rsid w:val="283F188B"/>
    <w:rsid w:val="2951282A"/>
    <w:rsid w:val="29D55E3B"/>
    <w:rsid w:val="2AA51F53"/>
    <w:rsid w:val="2AEB1EA4"/>
    <w:rsid w:val="2BC5635D"/>
    <w:rsid w:val="2E7536E0"/>
    <w:rsid w:val="2E9A651F"/>
    <w:rsid w:val="2F6A3F2E"/>
    <w:rsid w:val="30196C99"/>
    <w:rsid w:val="301D05CC"/>
    <w:rsid w:val="3069745B"/>
    <w:rsid w:val="32A23602"/>
    <w:rsid w:val="347D03E0"/>
    <w:rsid w:val="34B71E9E"/>
    <w:rsid w:val="35961FDA"/>
    <w:rsid w:val="3AE957B7"/>
    <w:rsid w:val="3B434DB3"/>
    <w:rsid w:val="3B6C03E8"/>
    <w:rsid w:val="3B824AE4"/>
    <w:rsid w:val="3B957EEA"/>
    <w:rsid w:val="3C8100BE"/>
    <w:rsid w:val="3F8A1718"/>
    <w:rsid w:val="400C7E14"/>
    <w:rsid w:val="44586623"/>
    <w:rsid w:val="449E57EC"/>
    <w:rsid w:val="45A25866"/>
    <w:rsid w:val="45A71855"/>
    <w:rsid w:val="48764627"/>
    <w:rsid w:val="49664B13"/>
    <w:rsid w:val="498B1A41"/>
    <w:rsid w:val="4AD93298"/>
    <w:rsid w:val="4AFF1C82"/>
    <w:rsid w:val="4E1718C7"/>
    <w:rsid w:val="4F186D52"/>
    <w:rsid w:val="4F6B68E9"/>
    <w:rsid w:val="51AF4EF4"/>
    <w:rsid w:val="51BF204A"/>
    <w:rsid w:val="52556481"/>
    <w:rsid w:val="533050C7"/>
    <w:rsid w:val="53552B81"/>
    <w:rsid w:val="53D73F3E"/>
    <w:rsid w:val="54795197"/>
    <w:rsid w:val="54FD6156"/>
    <w:rsid w:val="56831439"/>
    <w:rsid w:val="56907080"/>
    <w:rsid w:val="5ABD0484"/>
    <w:rsid w:val="5AEC0925"/>
    <w:rsid w:val="5D462B6E"/>
    <w:rsid w:val="5DE518BF"/>
    <w:rsid w:val="5E1F7E6E"/>
    <w:rsid w:val="60170ADA"/>
    <w:rsid w:val="619B63F2"/>
    <w:rsid w:val="62D80676"/>
    <w:rsid w:val="639E686B"/>
    <w:rsid w:val="646E53E5"/>
    <w:rsid w:val="666A6D51"/>
    <w:rsid w:val="698E48BE"/>
    <w:rsid w:val="6A716F93"/>
    <w:rsid w:val="6D79342A"/>
    <w:rsid w:val="701219FA"/>
    <w:rsid w:val="70476D2D"/>
    <w:rsid w:val="73366AD0"/>
    <w:rsid w:val="737768A8"/>
    <w:rsid w:val="76185ABA"/>
    <w:rsid w:val="7644090E"/>
    <w:rsid w:val="77465DA8"/>
    <w:rsid w:val="79DF3528"/>
    <w:rsid w:val="7BDD775E"/>
    <w:rsid w:val="7D700ABD"/>
    <w:rsid w:val="7EA072BE"/>
    <w:rsid w:val="7EBF49C0"/>
    <w:rsid w:val="7EE413A5"/>
    <w:rsid w:val="7FD85E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next w:val="1"/>
    <w:qFormat/>
    <w:uiPriority w:val="1"/>
    <w:pPr>
      <w:widowControl w:val="0"/>
      <w:spacing w:before="245"/>
      <w:ind w:left="1238" w:hanging="483"/>
      <w:jc w:val="both"/>
      <w:outlineLvl w:val="1"/>
    </w:pPr>
    <w:rPr>
      <w:rFonts w:ascii="仿宋" w:hAnsi="仿宋" w:eastAsia="仿宋" w:cs="仿宋"/>
      <w:b/>
      <w:bCs/>
      <w:kern w:val="2"/>
      <w:sz w:val="32"/>
      <w:szCs w:val="32"/>
      <w:lang w:val="zh-CN" w:eastAsia="zh-CN" w:bidi="zh-CN"/>
    </w:rPr>
  </w:style>
  <w:style w:type="paragraph" w:styleId="3">
    <w:name w:val="heading 2"/>
    <w:next w:val="1"/>
    <w:semiHidden/>
    <w:unhideWhenUsed/>
    <w:qFormat/>
    <w:uiPriority w:val="0"/>
    <w:pPr>
      <w:keepNext/>
      <w:keepLines/>
      <w:widowControl w:val="0"/>
      <w:spacing w:before="260" w:beforeLines="0" w:beforeAutospacing="0" w:after="260" w:afterLines="0" w:afterAutospacing="0" w:line="413" w:lineRule="auto"/>
      <w:jc w:val="both"/>
      <w:outlineLvl w:val="1"/>
    </w:pPr>
    <w:rPr>
      <w:rFonts w:ascii="Arial" w:hAnsi="Arial" w:eastAsia="黑体" w:cs="Times New Roman"/>
      <w:b/>
      <w:kern w:val="2"/>
      <w:sz w:val="32"/>
      <w:szCs w:val="24"/>
      <w:lang w:val="en-US" w:eastAsia="zh-CN" w:bidi="ar-SA"/>
    </w:rPr>
  </w:style>
  <w:style w:type="paragraph" w:styleId="4">
    <w:name w:val="heading 3"/>
    <w:next w:val="1"/>
    <w:semiHidden/>
    <w:unhideWhenUsed/>
    <w:qFormat/>
    <w:uiPriority w:val="0"/>
    <w:pPr>
      <w:keepNext/>
      <w:keepLines/>
      <w:widowControl w:val="0"/>
      <w:spacing w:before="260" w:beforeLines="0" w:beforeAutospacing="0" w:after="260" w:afterLines="0" w:afterAutospacing="0" w:line="413" w:lineRule="auto"/>
      <w:jc w:val="both"/>
      <w:outlineLvl w:val="2"/>
    </w:pPr>
    <w:rPr>
      <w:rFonts w:ascii="Calibri" w:hAnsi="Calibri" w:eastAsia="宋体" w:cs="Times New Roman"/>
      <w:b/>
      <w:kern w:val="2"/>
      <w:sz w:val="32"/>
      <w:szCs w:val="24"/>
      <w:lang w:val="en-US" w:eastAsia="zh-CN" w:bidi="ar-SA"/>
    </w:rPr>
  </w:style>
  <w:style w:type="paragraph" w:styleId="5">
    <w:name w:val="heading 4"/>
    <w:next w:val="1"/>
    <w:semiHidden/>
    <w:unhideWhenUsed/>
    <w:qFormat/>
    <w:uiPriority w:val="0"/>
    <w:pPr>
      <w:widowControl w:val="0"/>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15">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6">
    <w:name w:val="annotation text"/>
    <w:basedOn w:val="1"/>
    <w:qFormat/>
    <w:uiPriority w:val="0"/>
    <w:pPr>
      <w:jc w:val="left"/>
    </w:pPr>
  </w:style>
  <w:style w:type="paragraph" w:styleId="7">
    <w:name w:val="Body Text"/>
    <w:qFormat/>
    <w:uiPriority w:val="1"/>
    <w:pPr>
      <w:widowControl w:val="0"/>
      <w:ind w:left="117"/>
      <w:jc w:val="both"/>
    </w:pPr>
    <w:rPr>
      <w:rFonts w:ascii="仿宋" w:hAnsi="仿宋" w:eastAsia="仿宋" w:cs="仿宋"/>
      <w:kern w:val="2"/>
      <w:sz w:val="32"/>
      <w:szCs w:val="32"/>
      <w:lang w:val="zh-CN" w:eastAsia="zh-CN" w:bidi="zh-CN"/>
    </w:rPr>
  </w:style>
  <w:style w:type="paragraph" w:styleId="8">
    <w:name w:val="toc 3"/>
    <w:next w:val="1"/>
    <w:qFormat/>
    <w:uiPriority w:val="0"/>
    <w:pPr>
      <w:widowControl w:val="0"/>
      <w:ind w:left="840" w:leftChars="400"/>
      <w:jc w:val="both"/>
    </w:pPr>
    <w:rPr>
      <w:rFonts w:ascii="Calibri" w:hAnsi="Calibri" w:eastAsia="宋体" w:cs="Times New Roman"/>
      <w:kern w:val="2"/>
      <w:sz w:val="21"/>
      <w:szCs w:val="24"/>
      <w:lang w:val="en-US" w:eastAsia="zh-CN" w:bidi="ar-SA"/>
    </w:rPr>
  </w:style>
  <w:style w:type="paragraph" w:styleId="9">
    <w:name w:val="footer"/>
    <w:qFormat/>
    <w:uiPriority w:val="0"/>
    <w:pPr>
      <w:widowControl w:val="0"/>
      <w:tabs>
        <w:tab w:val="center" w:pos="4153"/>
        <w:tab w:val="right" w:pos="8306"/>
      </w:tabs>
      <w:snapToGrid w:val="0"/>
      <w:jc w:val="left"/>
    </w:pPr>
    <w:rPr>
      <w:rFonts w:ascii="Calibri" w:hAnsi="Calibri" w:eastAsia="宋体" w:cs="Times New Roman"/>
      <w:kern w:val="2"/>
      <w:sz w:val="18"/>
      <w:szCs w:val="24"/>
      <w:lang w:val="en-US" w:eastAsia="zh-CN" w:bidi="ar-SA"/>
    </w:rPr>
  </w:style>
  <w:style w:type="paragraph" w:styleId="10">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toc 1"/>
    <w:next w:val="1"/>
    <w:qFormat/>
    <w:uiPriority w:val="0"/>
    <w:pPr>
      <w:widowControl w:val="0"/>
      <w:jc w:val="both"/>
    </w:pPr>
    <w:rPr>
      <w:rFonts w:ascii="Calibri" w:hAnsi="Calibri" w:eastAsia="宋体" w:cs="Times New Roman"/>
      <w:kern w:val="2"/>
      <w:sz w:val="21"/>
      <w:szCs w:val="24"/>
      <w:lang w:val="en-US" w:eastAsia="zh-CN" w:bidi="ar-SA"/>
    </w:rPr>
  </w:style>
  <w:style w:type="paragraph" w:styleId="12">
    <w:name w:val="toc 2"/>
    <w:next w:val="1"/>
    <w:qFormat/>
    <w:uiPriority w:val="0"/>
    <w:pPr>
      <w:widowControl w:val="0"/>
      <w:ind w:left="420" w:leftChars="200"/>
      <w:jc w:val="both"/>
    </w:pPr>
    <w:rPr>
      <w:rFonts w:ascii="Calibri" w:hAnsi="Calibri" w:eastAsia="宋体" w:cs="Times New Roman"/>
      <w:kern w:val="2"/>
      <w:sz w:val="21"/>
      <w:szCs w:val="24"/>
      <w:lang w:val="en-US" w:eastAsia="zh-CN" w:bidi="ar-SA"/>
    </w:rPr>
  </w:style>
  <w:style w:type="paragraph" w:styleId="13">
    <w:name w:val="Normal (Web)"/>
    <w:qFormat/>
    <w:uiPriority w:val="0"/>
    <w:pPr>
      <w:widowControl w:val="0"/>
      <w:spacing w:before="100" w:beforeAutospacing="1" w:after="100" w:afterAutospacing="1"/>
      <w:ind w:left="0" w:right="0"/>
      <w:jc w:val="left"/>
    </w:pPr>
    <w:rPr>
      <w:rFonts w:ascii="Calibri" w:hAnsi="Calibri" w:eastAsia="宋体" w:cs="Times New Roman"/>
      <w:kern w:val="0"/>
      <w:sz w:val="24"/>
      <w:szCs w:val="24"/>
      <w:lang w:val="en-US" w:eastAsia="zh-CN" w:bidi="ar"/>
    </w:rPr>
  </w:style>
  <w:style w:type="paragraph" w:styleId="16">
    <w:name w:val="List Paragraph"/>
    <w:qFormat/>
    <w:uiPriority w:val="1"/>
    <w:pPr>
      <w:widowControl w:val="0"/>
      <w:spacing w:before="245"/>
      <w:ind w:left="1238" w:hanging="483"/>
      <w:jc w:val="both"/>
    </w:pPr>
    <w:rPr>
      <w:rFonts w:ascii="仿宋" w:hAnsi="仿宋" w:eastAsia="仿宋" w:cs="仿宋"/>
      <w:kern w:val="2"/>
      <w:sz w:val="21"/>
      <w:szCs w:val="24"/>
      <w:lang w:val="zh-CN" w:eastAsia="zh-CN" w:bidi="zh-CN"/>
    </w:rPr>
  </w:style>
  <w:style w:type="paragraph" w:customStyle="1" w:styleId="17">
    <w:name w:val="Default"/>
    <w:unhideWhenUsed/>
    <w:qFormat/>
    <w:uiPriority w:val="99"/>
    <w:pPr>
      <w:widowControl w:val="0"/>
      <w:autoSpaceDE w:val="0"/>
      <w:autoSpaceDN w:val="0"/>
      <w:adjustRightInd w:val="0"/>
      <w:spacing w:beforeLines="0" w:afterLines="0"/>
    </w:pPr>
    <w:rPr>
      <w:rFonts w:hint="eastAsia" w:ascii="宋体" w:hAnsi="宋体" w:eastAsia="宋体" w:cs="Times New Roman"/>
      <w:color w:val="000000"/>
      <w:sz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2020-12-30T03:05:00Z</dcterms:created>
  <dc:creator>Trx</dc:creator>
  <cp:lastModifiedBy>Trx</cp:lastModifiedBy>
  <cp:lastPrinted>2021-04-12T07:20:00Z</cp:lastPrinted>
  <dcterms:modified xsi:type="dcterms:W3CDTF">2021-04-27T01:12:20Z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4CD8B292A167416AB1F39A6CAD051A6A</vt:lpwstr>
  </property>
</Properties>
</file>