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3B8" w:rsidRDefault="007C03B8" w:rsidP="00E4624D">
      <w:pPr>
        <w:pStyle w:val="Heading1"/>
        <w:widowControl/>
        <w:spacing w:before="210" w:beforeAutospacing="0" w:afterAutospacing="0"/>
        <w:jc w:val="center"/>
        <w:rPr>
          <w:rFonts w:ascii="Calibri" w:hAnsi="Calibri"/>
          <w:bCs/>
          <w:kern w:val="2"/>
          <w:sz w:val="32"/>
          <w:szCs w:val="32"/>
        </w:rPr>
      </w:pPr>
      <w:r>
        <w:rPr>
          <w:rFonts w:ascii="Calibri" w:hAnsi="Calibri" w:hint="eastAsia"/>
          <w:bCs/>
          <w:kern w:val="2"/>
          <w:sz w:val="32"/>
          <w:szCs w:val="32"/>
        </w:rPr>
        <w:t>教育部</w:t>
      </w:r>
      <w:r>
        <w:rPr>
          <w:rFonts w:ascii="Calibri" w:hAnsi="Calibri"/>
          <w:bCs/>
          <w:kern w:val="2"/>
          <w:sz w:val="32"/>
          <w:szCs w:val="32"/>
        </w:rPr>
        <w:t xml:space="preserve"> </w:t>
      </w:r>
      <w:r>
        <w:rPr>
          <w:rFonts w:ascii="Calibri" w:hAnsi="Calibri" w:hint="eastAsia"/>
          <w:bCs/>
          <w:kern w:val="2"/>
          <w:sz w:val="32"/>
          <w:szCs w:val="32"/>
        </w:rPr>
        <w:t>农业农村部</w:t>
      </w:r>
      <w:r>
        <w:rPr>
          <w:rFonts w:ascii="Calibri" w:hAnsi="Calibri"/>
          <w:bCs/>
          <w:kern w:val="2"/>
          <w:sz w:val="32"/>
          <w:szCs w:val="32"/>
        </w:rPr>
        <w:t xml:space="preserve"> </w:t>
      </w:r>
      <w:r>
        <w:rPr>
          <w:rFonts w:ascii="Calibri" w:hAnsi="Calibri" w:hint="eastAsia"/>
          <w:bCs/>
          <w:kern w:val="2"/>
          <w:sz w:val="32"/>
          <w:szCs w:val="32"/>
        </w:rPr>
        <w:t>国家林业和草原局关于</w:t>
      </w:r>
      <w:r>
        <w:rPr>
          <w:rFonts w:ascii="Calibri" w:hAnsi="Calibri"/>
          <w:bCs/>
          <w:kern w:val="2"/>
          <w:sz w:val="32"/>
          <w:szCs w:val="32"/>
        </w:rPr>
        <w:br/>
      </w:r>
      <w:r>
        <w:rPr>
          <w:rFonts w:ascii="Calibri" w:hAnsi="Calibri" w:hint="eastAsia"/>
          <w:bCs/>
          <w:kern w:val="2"/>
          <w:sz w:val="32"/>
          <w:szCs w:val="32"/>
        </w:rPr>
        <w:t>加强农科教结合实施卓越农林人才</w:t>
      </w:r>
      <w:r>
        <w:rPr>
          <w:rFonts w:ascii="Calibri" w:hAnsi="Calibri"/>
          <w:bCs/>
          <w:kern w:val="2"/>
          <w:sz w:val="32"/>
          <w:szCs w:val="32"/>
        </w:rPr>
        <w:br/>
      </w:r>
      <w:r>
        <w:rPr>
          <w:rFonts w:ascii="Calibri" w:hAnsi="Calibri" w:hint="eastAsia"/>
          <w:bCs/>
          <w:kern w:val="2"/>
          <w:sz w:val="32"/>
          <w:szCs w:val="32"/>
        </w:rPr>
        <w:t>教育培养计划</w:t>
      </w:r>
      <w:r>
        <w:rPr>
          <w:rFonts w:ascii="Calibri" w:hAnsi="Calibri"/>
          <w:bCs/>
          <w:kern w:val="2"/>
          <w:sz w:val="32"/>
          <w:szCs w:val="32"/>
        </w:rPr>
        <w:t>2.0</w:t>
      </w:r>
      <w:r>
        <w:rPr>
          <w:rFonts w:ascii="Calibri" w:hAnsi="Calibri" w:hint="eastAsia"/>
          <w:bCs/>
          <w:kern w:val="2"/>
          <w:sz w:val="32"/>
          <w:szCs w:val="32"/>
        </w:rPr>
        <w:t>的意见</w:t>
      </w:r>
    </w:p>
    <w:p w:rsidR="007C03B8" w:rsidRDefault="007C03B8" w:rsidP="00E4624D">
      <w:pPr>
        <w:pStyle w:val="NormalWeb"/>
        <w:widowControl/>
        <w:spacing w:before="200" w:beforeAutospacing="0" w:afterAutospacing="0" w:line="480" w:lineRule="atLeast"/>
        <w:jc w:val="center"/>
        <w:rPr>
          <w:kern w:val="2"/>
          <w:sz w:val="28"/>
          <w:szCs w:val="28"/>
        </w:rPr>
      </w:pPr>
      <w:r>
        <w:rPr>
          <w:rFonts w:hint="eastAsia"/>
          <w:kern w:val="2"/>
          <w:sz w:val="28"/>
          <w:szCs w:val="28"/>
        </w:rPr>
        <w:t>教高〔</w:t>
      </w:r>
      <w:r>
        <w:rPr>
          <w:kern w:val="2"/>
          <w:sz w:val="28"/>
          <w:szCs w:val="28"/>
        </w:rPr>
        <w:t>2018</w:t>
      </w:r>
      <w:r>
        <w:rPr>
          <w:rFonts w:hint="eastAsia"/>
          <w:kern w:val="2"/>
          <w:sz w:val="28"/>
          <w:szCs w:val="28"/>
        </w:rPr>
        <w:t>〕</w:t>
      </w:r>
      <w:r>
        <w:rPr>
          <w:kern w:val="2"/>
          <w:sz w:val="28"/>
          <w:szCs w:val="28"/>
        </w:rPr>
        <w:t>5</w:t>
      </w:r>
      <w:r>
        <w:rPr>
          <w:rFonts w:hint="eastAsia"/>
          <w:kern w:val="2"/>
          <w:sz w:val="28"/>
          <w:szCs w:val="28"/>
        </w:rPr>
        <w:t>号</w:t>
      </w:r>
    </w:p>
    <w:p w:rsidR="007C03B8" w:rsidRDefault="007C03B8">
      <w:pPr>
        <w:pStyle w:val="NormalWeb"/>
        <w:widowControl/>
        <w:spacing w:beforeAutospacing="0" w:afterAutospacing="0" w:line="480" w:lineRule="atLeast"/>
        <w:rPr>
          <w:kern w:val="2"/>
          <w:sz w:val="28"/>
          <w:szCs w:val="28"/>
        </w:rPr>
      </w:pPr>
      <w:r>
        <w:rPr>
          <w:rFonts w:hint="eastAsia"/>
          <w:kern w:val="2"/>
          <w:sz w:val="28"/>
          <w:szCs w:val="28"/>
        </w:rPr>
        <w:t>各省、自治区、直辖市教育厅（教委）、农业（农牧、农村经济）厅（局、委）、林业厅（局），</w:t>
      </w:r>
      <w:bookmarkStart w:id="0" w:name="_GoBack"/>
      <w:r>
        <w:rPr>
          <w:rFonts w:hint="eastAsia"/>
          <w:kern w:val="2"/>
          <w:sz w:val="28"/>
          <w:szCs w:val="28"/>
        </w:rPr>
        <w:t>内蒙古、吉林、龙江、大兴安岭森工（林业）集团公司，新疆生产建设兵团</w:t>
      </w:r>
      <w:bookmarkEnd w:id="0"/>
      <w:r>
        <w:rPr>
          <w:rFonts w:hint="eastAsia"/>
          <w:kern w:val="2"/>
          <w:sz w:val="28"/>
          <w:szCs w:val="28"/>
        </w:rPr>
        <w:t>教育局、农业局、林业局，有关部门（单位）教育司（局），部属各高等学校、部省合建各高等学校：</w:t>
      </w:r>
    </w:p>
    <w:p w:rsidR="007C03B8" w:rsidRDefault="007C03B8">
      <w:pPr>
        <w:pStyle w:val="NormalWeb"/>
        <w:widowControl/>
        <w:spacing w:beforeAutospacing="0" w:afterAutospacing="0" w:line="480" w:lineRule="atLeast"/>
        <w:rPr>
          <w:kern w:val="2"/>
          <w:sz w:val="28"/>
          <w:szCs w:val="28"/>
        </w:rPr>
      </w:pPr>
      <w:r>
        <w:rPr>
          <w:rFonts w:hint="eastAsia"/>
          <w:kern w:val="2"/>
          <w:sz w:val="28"/>
          <w:szCs w:val="28"/>
        </w:rPr>
        <w:t xml:space="preserve">　　为深入贯彻习近平新时代中国特色社会主义思想，全面贯彻落实《中共中央</w:t>
      </w:r>
      <w:r>
        <w:rPr>
          <w:kern w:val="2"/>
          <w:sz w:val="28"/>
          <w:szCs w:val="28"/>
        </w:rPr>
        <w:t xml:space="preserve"> </w:t>
      </w:r>
      <w:r>
        <w:rPr>
          <w:rFonts w:hint="eastAsia"/>
          <w:kern w:val="2"/>
          <w:sz w:val="28"/>
          <w:szCs w:val="28"/>
        </w:rPr>
        <w:t>国务院关于实施乡村振兴战略的意见》，根据《教育部关于加快建设高水平本科教育</w:t>
      </w:r>
      <w:r>
        <w:rPr>
          <w:kern w:val="2"/>
          <w:sz w:val="28"/>
          <w:szCs w:val="28"/>
        </w:rPr>
        <w:t xml:space="preserve"> </w:t>
      </w:r>
      <w:r>
        <w:rPr>
          <w:rFonts w:hint="eastAsia"/>
          <w:kern w:val="2"/>
          <w:sz w:val="28"/>
          <w:szCs w:val="28"/>
        </w:rPr>
        <w:t>全面提高人才培养能力的意见》，现就实施卓越农林人才教育培养计划</w:t>
      </w:r>
      <w:r>
        <w:rPr>
          <w:kern w:val="2"/>
          <w:sz w:val="28"/>
          <w:szCs w:val="28"/>
        </w:rPr>
        <w:t>2.0</w:t>
      </w:r>
      <w:r>
        <w:rPr>
          <w:rFonts w:hint="eastAsia"/>
          <w:kern w:val="2"/>
          <w:sz w:val="28"/>
          <w:szCs w:val="28"/>
        </w:rPr>
        <w:t>提出以下意见。</w:t>
      </w:r>
    </w:p>
    <w:p w:rsidR="007C03B8" w:rsidRDefault="007C03B8">
      <w:pPr>
        <w:pStyle w:val="NormalWeb"/>
        <w:widowControl/>
        <w:spacing w:beforeAutospacing="0" w:afterAutospacing="0" w:line="480" w:lineRule="atLeast"/>
        <w:rPr>
          <w:kern w:val="2"/>
          <w:sz w:val="28"/>
          <w:szCs w:val="28"/>
        </w:rPr>
      </w:pPr>
      <w:r>
        <w:rPr>
          <w:rFonts w:hint="eastAsia"/>
          <w:kern w:val="2"/>
          <w:sz w:val="28"/>
          <w:szCs w:val="28"/>
        </w:rPr>
        <w:t xml:space="preserve">　　一、总体思路</w:t>
      </w:r>
      <w:r>
        <w:rPr>
          <w:kern w:val="2"/>
          <w:sz w:val="28"/>
          <w:szCs w:val="28"/>
        </w:rPr>
        <w:t xml:space="preserve"> </w:t>
      </w:r>
    </w:p>
    <w:p w:rsidR="007C03B8" w:rsidRDefault="007C03B8">
      <w:pPr>
        <w:pStyle w:val="NormalWeb"/>
        <w:widowControl/>
        <w:spacing w:beforeAutospacing="0" w:afterAutospacing="0" w:line="480" w:lineRule="atLeast"/>
        <w:rPr>
          <w:kern w:val="2"/>
          <w:sz w:val="28"/>
          <w:szCs w:val="28"/>
        </w:rPr>
      </w:pPr>
      <w:r>
        <w:rPr>
          <w:rFonts w:hint="eastAsia"/>
          <w:kern w:val="2"/>
          <w:sz w:val="28"/>
          <w:szCs w:val="28"/>
        </w:rPr>
        <w:t xml:space="preserve">　　紧紧围绕乡村振兴战略和生态文明建设，坚持产学研协作，深化农科教结合，用现代科学技术改造提升现有涉农专业，建设一批适应农林新产业新业态发展的涉农新专业，建设中国特色、世界水平的一流农林专业，培养懂农业、爱农村、爱农民的一流农林人才，为乡村振兴发展和生态文明建设提供强有力的人才支撑，服务美丽中国建设。</w:t>
      </w:r>
    </w:p>
    <w:p w:rsidR="007C03B8" w:rsidRDefault="007C03B8">
      <w:pPr>
        <w:pStyle w:val="NormalWeb"/>
        <w:widowControl/>
        <w:spacing w:beforeAutospacing="0" w:afterAutospacing="0" w:line="480" w:lineRule="atLeast"/>
        <w:rPr>
          <w:kern w:val="2"/>
          <w:sz w:val="28"/>
          <w:szCs w:val="28"/>
        </w:rPr>
      </w:pPr>
      <w:r>
        <w:rPr>
          <w:rFonts w:hint="eastAsia"/>
          <w:kern w:val="2"/>
          <w:sz w:val="28"/>
          <w:szCs w:val="28"/>
        </w:rPr>
        <w:t xml:space="preserve">　　二、目标要求</w:t>
      </w:r>
      <w:r>
        <w:rPr>
          <w:kern w:val="2"/>
          <w:sz w:val="28"/>
          <w:szCs w:val="28"/>
        </w:rPr>
        <w:t xml:space="preserve"> </w:t>
      </w:r>
    </w:p>
    <w:p w:rsidR="007C03B8" w:rsidRDefault="007C03B8">
      <w:pPr>
        <w:pStyle w:val="NormalWeb"/>
        <w:widowControl/>
        <w:spacing w:beforeAutospacing="0" w:afterAutospacing="0" w:line="480" w:lineRule="atLeast"/>
        <w:rPr>
          <w:kern w:val="2"/>
          <w:sz w:val="28"/>
          <w:szCs w:val="28"/>
        </w:rPr>
      </w:pPr>
      <w:r>
        <w:rPr>
          <w:rFonts w:hint="eastAsia"/>
          <w:kern w:val="2"/>
          <w:sz w:val="28"/>
          <w:szCs w:val="28"/>
        </w:rPr>
        <w:t xml:space="preserve">　　经过</w:t>
      </w:r>
      <w:r>
        <w:rPr>
          <w:kern w:val="2"/>
          <w:sz w:val="28"/>
          <w:szCs w:val="28"/>
        </w:rPr>
        <w:t>5</w:t>
      </w:r>
      <w:r>
        <w:rPr>
          <w:rFonts w:hint="eastAsia"/>
          <w:kern w:val="2"/>
          <w:sz w:val="28"/>
          <w:szCs w:val="28"/>
        </w:rPr>
        <w:t>年的努力，多层次、多类型、多样化的中国特色高等农林教育人才培养体系全面建立，农科教协同育人机制更加完善，高等农林教育专业认证制度更加健全，建设一批一流农林专业，打造一批线上线下精品课程，农林人才培养质量明显提升，服务乡村振兴发展和生态文明建设的能力明显增强。</w:t>
      </w:r>
    </w:p>
    <w:p w:rsidR="007C03B8" w:rsidRDefault="007C03B8">
      <w:pPr>
        <w:pStyle w:val="NormalWeb"/>
        <w:widowControl/>
        <w:spacing w:beforeAutospacing="0" w:afterAutospacing="0" w:line="480" w:lineRule="atLeast"/>
        <w:rPr>
          <w:kern w:val="2"/>
          <w:sz w:val="28"/>
          <w:szCs w:val="28"/>
        </w:rPr>
      </w:pPr>
      <w:r>
        <w:rPr>
          <w:rFonts w:hint="eastAsia"/>
          <w:kern w:val="2"/>
          <w:sz w:val="28"/>
          <w:szCs w:val="28"/>
        </w:rPr>
        <w:t xml:space="preserve">　　三、改革任务和重点举措</w:t>
      </w:r>
      <w:r>
        <w:rPr>
          <w:kern w:val="2"/>
          <w:sz w:val="28"/>
          <w:szCs w:val="28"/>
        </w:rPr>
        <w:t xml:space="preserve"> </w:t>
      </w:r>
    </w:p>
    <w:p w:rsidR="007C03B8" w:rsidRDefault="007C03B8">
      <w:pPr>
        <w:pStyle w:val="NormalWeb"/>
        <w:widowControl/>
        <w:spacing w:beforeAutospacing="0" w:afterAutospacing="0" w:line="480" w:lineRule="atLeast"/>
        <w:rPr>
          <w:kern w:val="2"/>
          <w:sz w:val="28"/>
          <w:szCs w:val="28"/>
        </w:rPr>
      </w:pPr>
      <w:r>
        <w:rPr>
          <w:rFonts w:hint="eastAsia"/>
          <w:kern w:val="2"/>
          <w:sz w:val="28"/>
          <w:szCs w:val="28"/>
        </w:rPr>
        <w:t xml:space="preserve">　　农业农村农民问题是关系国计民生的根本性问题，决定着我国全面小康社会的成色和社会主义现代化的质量。高等农林教育要树立和践行绿水青山就是金山银山的理念，坚持人与自然和谐共生，培养服务“产业兴旺、生态宜居、乡风文明、治理有效、生活富裕”的卓越农林人才。</w:t>
      </w:r>
    </w:p>
    <w:p w:rsidR="007C03B8" w:rsidRDefault="007C03B8">
      <w:pPr>
        <w:pStyle w:val="NormalWeb"/>
        <w:widowControl/>
        <w:spacing w:beforeAutospacing="0" w:afterAutospacing="0" w:line="480" w:lineRule="atLeast"/>
        <w:rPr>
          <w:kern w:val="2"/>
          <w:sz w:val="28"/>
          <w:szCs w:val="28"/>
        </w:rPr>
      </w:pPr>
      <w:r>
        <w:rPr>
          <w:rFonts w:hint="eastAsia"/>
          <w:kern w:val="2"/>
          <w:sz w:val="28"/>
          <w:szCs w:val="28"/>
        </w:rPr>
        <w:t xml:space="preserve">　　</w:t>
      </w:r>
      <w:r>
        <w:rPr>
          <w:kern w:val="2"/>
          <w:sz w:val="28"/>
          <w:szCs w:val="28"/>
        </w:rPr>
        <w:t>1.</w:t>
      </w:r>
      <w:r>
        <w:rPr>
          <w:rFonts w:hint="eastAsia"/>
          <w:kern w:val="2"/>
          <w:sz w:val="28"/>
          <w:szCs w:val="28"/>
        </w:rPr>
        <w:t>推动高等农林教育创新发展。各级教育行政部门和涉农高校要把高等农林教育放在优先发展位置，主动提供政策支持和制度保障，加快推进高等农林教育改革发展。高校要充分发挥人才智力优势，加强乡村振兴战略研究的智库建设，成立乡村振兴研究院，深入研究乡村产业振兴、乡村人才振兴、乡村文化振兴、乡村生态振兴、乡村组织振兴中的重大理论和实践问题，为乡村振兴贡献智慧和方案，为培养数量充足、结构合理的卓越农林人才提供路径和模式。</w:t>
      </w:r>
    </w:p>
    <w:p w:rsidR="007C03B8" w:rsidRDefault="007C03B8">
      <w:pPr>
        <w:pStyle w:val="NormalWeb"/>
        <w:widowControl/>
        <w:spacing w:beforeAutospacing="0" w:afterAutospacing="0" w:line="480" w:lineRule="atLeast"/>
        <w:rPr>
          <w:kern w:val="2"/>
          <w:sz w:val="28"/>
          <w:szCs w:val="28"/>
        </w:rPr>
      </w:pPr>
      <w:r>
        <w:rPr>
          <w:rFonts w:hint="eastAsia"/>
          <w:kern w:val="2"/>
          <w:sz w:val="28"/>
          <w:szCs w:val="28"/>
        </w:rPr>
        <w:t xml:space="preserve">　　</w:t>
      </w:r>
      <w:r>
        <w:rPr>
          <w:kern w:val="2"/>
          <w:sz w:val="28"/>
          <w:szCs w:val="28"/>
        </w:rPr>
        <w:t>2.</w:t>
      </w:r>
      <w:r>
        <w:rPr>
          <w:rFonts w:hint="eastAsia"/>
          <w:kern w:val="2"/>
          <w:sz w:val="28"/>
          <w:szCs w:val="28"/>
        </w:rPr>
        <w:t>培育农林学生“爱农知农为农”素养。面向农业农村现代化建设，把思想政治教育和职业素养教育贯穿农林人才培养全课程、全过程，开设“大国三农”选修课程，开展“大国三农”等系列主题教育实践活动，加强农林学生社会实践，让学生走进农村、走近农民、走向农业，引导学生学农爱农知农为农，把论文写在祖国大地上，把乡情乡愁融入血脉中，全面增强学生服务“三农”和农业农村现代化的使命感和责任感。注重素质教育与专业教育有机结合，进一步加强农林学生专业知识教育，把创新创业教育贯穿人才培养全过程，着力提升农林学生专业能力和综合素养。</w:t>
      </w:r>
    </w:p>
    <w:p w:rsidR="007C03B8" w:rsidRDefault="007C03B8">
      <w:pPr>
        <w:pStyle w:val="NormalWeb"/>
        <w:widowControl/>
        <w:spacing w:beforeAutospacing="0" w:afterAutospacing="0" w:line="480" w:lineRule="atLeast"/>
        <w:rPr>
          <w:kern w:val="2"/>
          <w:sz w:val="28"/>
          <w:szCs w:val="28"/>
        </w:rPr>
      </w:pPr>
      <w:r>
        <w:rPr>
          <w:rFonts w:hint="eastAsia"/>
          <w:kern w:val="2"/>
          <w:sz w:val="28"/>
          <w:szCs w:val="28"/>
        </w:rPr>
        <w:t xml:space="preserve">　　</w:t>
      </w:r>
      <w:r>
        <w:rPr>
          <w:kern w:val="2"/>
          <w:sz w:val="28"/>
          <w:szCs w:val="28"/>
        </w:rPr>
        <w:t>3.</w:t>
      </w:r>
      <w:r>
        <w:rPr>
          <w:rFonts w:hint="eastAsia"/>
          <w:kern w:val="2"/>
          <w:sz w:val="28"/>
          <w:szCs w:val="28"/>
        </w:rPr>
        <w:t>提升农林专业建设水平。瞄准农林产业发展新需求，深化高等农林教育专业供给侧改革，建设</w:t>
      </w:r>
      <w:r>
        <w:rPr>
          <w:kern w:val="2"/>
          <w:sz w:val="28"/>
          <w:szCs w:val="28"/>
        </w:rPr>
        <w:t>200</w:t>
      </w:r>
      <w:r>
        <w:rPr>
          <w:rFonts w:hint="eastAsia"/>
          <w:kern w:val="2"/>
          <w:sz w:val="28"/>
          <w:szCs w:val="28"/>
        </w:rPr>
        <w:t>个左右一流涉农专业。促进学科交叉融合，用现代生物技术、信息技术、工程技术改造提升现有涉农专业；服务“互联网＋现代农业”、创意农业、休闲农业、乡村旅游、森林康养等新产业新业态发展，建设一批新兴涉农专业。</w:t>
      </w:r>
    </w:p>
    <w:p w:rsidR="007C03B8" w:rsidRDefault="007C03B8">
      <w:pPr>
        <w:pStyle w:val="NormalWeb"/>
        <w:widowControl/>
        <w:spacing w:beforeAutospacing="0" w:afterAutospacing="0" w:line="480" w:lineRule="atLeast"/>
        <w:rPr>
          <w:kern w:val="2"/>
          <w:sz w:val="28"/>
          <w:szCs w:val="28"/>
        </w:rPr>
      </w:pPr>
      <w:r>
        <w:rPr>
          <w:rFonts w:hint="eastAsia"/>
          <w:kern w:val="2"/>
          <w:sz w:val="28"/>
          <w:szCs w:val="28"/>
        </w:rPr>
        <w:t xml:space="preserve">　　根据不同类型农林人才培养目标，调整优化课程结构，开发优质课程资源，开设学科前沿课程，加强农业特色通识教育课程建设，注重体现学科交叉融合、体现现代生物科技的新的课程建设，及时用农林业发展的新理论、新知识、新技术更新教学内容。加强农林学生实践教学，健全农林特色创新创业教育体系，构建校内实践教学基地与校外实习基地联动的实践教学平台，加快区域性共建共享实践教学基地建设。推进教学方法改革，实施探究式、讨论式等多种教学方法，促进学生的批判性思维和创新意识的培养。开展以能力为导向的多元评价，突出对学生学习能力、实践能力和创新能力的考核，建立多样化的学业指导和考核评价体系。</w:t>
      </w:r>
    </w:p>
    <w:p w:rsidR="007C03B8" w:rsidRDefault="007C03B8">
      <w:pPr>
        <w:pStyle w:val="NormalWeb"/>
        <w:widowControl/>
        <w:spacing w:beforeAutospacing="0" w:afterAutospacing="0" w:line="480" w:lineRule="atLeast"/>
        <w:rPr>
          <w:kern w:val="2"/>
          <w:sz w:val="28"/>
          <w:szCs w:val="28"/>
        </w:rPr>
      </w:pPr>
      <w:r>
        <w:rPr>
          <w:rFonts w:hint="eastAsia"/>
          <w:kern w:val="2"/>
          <w:sz w:val="28"/>
          <w:szCs w:val="28"/>
        </w:rPr>
        <w:t xml:space="preserve">　　大力推进信息技术与农林教育教学的深度融合，推动“互联网</w:t>
      </w:r>
      <w:r>
        <w:rPr>
          <w:kern w:val="2"/>
          <w:sz w:val="28"/>
          <w:szCs w:val="28"/>
        </w:rPr>
        <w:t>+</w:t>
      </w:r>
      <w:r>
        <w:rPr>
          <w:rFonts w:hint="eastAsia"/>
          <w:kern w:val="2"/>
          <w:sz w:val="28"/>
          <w:szCs w:val="28"/>
        </w:rPr>
        <w:t>农林教育”，建设</w:t>
      </w:r>
      <w:r>
        <w:rPr>
          <w:kern w:val="2"/>
          <w:sz w:val="28"/>
          <w:szCs w:val="28"/>
        </w:rPr>
        <w:t>300</w:t>
      </w:r>
      <w:r>
        <w:rPr>
          <w:rFonts w:hint="eastAsia"/>
          <w:kern w:val="2"/>
          <w:sz w:val="28"/>
          <w:szCs w:val="28"/>
        </w:rPr>
        <w:t>个左右农林国家虚拟仿真实验教学项目，推出</w:t>
      </w:r>
      <w:r>
        <w:rPr>
          <w:kern w:val="2"/>
          <w:sz w:val="28"/>
          <w:szCs w:val="28"/>
        </w:rPr>
        <w:t>500</w:t>
      </w:r>
      <w:r>
        <w:rPr>
          <w:rFonts w:hint="eastAsia"/>
          <w:kern w:val="2"/>
          <w:sz w:val="28"/>
          <w:szCs w:val="28"/>
        </w:rPr>
        <w:t>门左右农林国家线上线下精品课程，组建高等农林院校慕课联盟，深入开展混合式教学和在线教育，实现农林人才培养质量的变轨超车。</w:t>
      </w:r>
    </w:p>
    <w:p w:rsidR="007C03B8" w:rsidRDefault="007C03B8">
      <w:pPr>
        <w:pStyle w:val="NormalWeb"/>
        <w:widowControl/>
        <w:spacing w:beforeAutospacing="0" w:afterAutospacing="0" w:line="480" w:lineRule="atLeast"/>
        <w:rPr>
          <w:kern w:val="2"/>
          <w:sz w:val="28"/>
          <w:szCs w:val="28"/>
        </w:rPr>
      </w:pPr>
      <w:r>
        <w:rPr>
          <w:rFonts w:hint="eastAsia"/>
          <w:kern w:val="2"/>
          <w:sz w:val="28"/>
          <w:szCs w:val="28"/>
        </w:rPr>
        <w:t xml:space="preserve">　　</w:t>
      </w:r>
      <w:r>
        <w:rPr>
          <w:kern w:val="2"/>
          <w:sz w:val="28"/>
          <w:szCs w:val="28"/>
        </w:rPr>
        <w:t>4.</w:t>
      </w:r>
      <w:r>
        <w:rPr>
          <w:rFonts w:hint="eastAsia"/>
          <w:kern w:val="2"/>
          <w:sz w:val="28"/>
          <w:szCs w:val="28"/>
        </w:rPr>
        <w:t>创新农林人才培养模式。服务乡村振兴发展和生态文明建设，深化高等农林教育人才培养供给侧改革，加快培养不同类型农林人才。顺应农业创新驱动发展新要求，加快推进拔尖创新型农林人才培养，开展国家农林教学与科研人才培养基地改革试点，吸引优质生源报考涉农专业，加强研究性教学，注重个性化培养，拓宽国际化视野，着力提升学生的创新意识、创新能力和科研素养，培养一批引领农林业创新发展的高层次、高水平农林人才；顺应农村一二三产业融合发展新要求，加快推进复合应用型农林人才培养，促进学科交叉融合，加强农科教结合、产学研协作，提高学生综合实践能力，培养一批多学科背景的复合型高素质农林人才；顺应现代农业建设新要求，加快推进实用技能型农林人才培养改革，以提升学生生产技能和经营管理能力为重点，改革教学内容和课程体系，加强技能实训基地建设，培养爱农业、懂技术、善经营的新型职业农民。</w:t>
      </w:r>
    </w:p>
    <w:p w:rsidR="007C03B8" w:rsidRDefault="007C03B8">
      <w:pPr>
        <w:pStyle w:val="NormalWeb"/>
        <w:widowControl/>
        <w:spacing w:beforeAutospacing="0" w:afterAutospacing="0" w:line="480" w:lineRule="atLeast"/>
        <w:rPr>
          <w:kern w:val="2"/>
          <w:sz w:val="28"/>
          <w:szCs w:val="28"/>
        </w:rPr>
      </w:pPr>
      <w:r>
        <w:rPr>
          <w:rFonts w:hint="eastAsia"/>
          <w:kern w:val="2"/>
          <w:sz w:val="28"/>
          <w:szCs w:val="28"/>
        </w:rPr>
        <w:t xml:space="preserve">　　</w:t>
      </w:r>
      <w:r>
        <w:rPr>
          <w:kern w:val="2"/>
          <w:sz w:val="28"/>
          <w:szCs w:val="28"/>
        </w:rPr>
        <w:t>5.</w:t>
      </w:r>
      <w:r>
        <w:rPr>
          <w:rFonts w:hint="eastAsia"/>
          <w:kern w:val="2"/>
          <w:sz w:val="28"/>
          <w:szCs w:val="28"/>
        </w:rPr>
        <w:t>完善农科教协同育人机制。建立中央和省级教育、农业农村、林业和草原等部门协同育人机制，统筹推进校地、校所、校企育人要素和创新资源共享、互动，实现行业优质资源转化为育人资源、行业特色转化为专业特色，将合作成果落实到推动产业发展中，辐射到培养卓越农林人才上。</w:t>
      </w:r>
    </w:p>
    <w:p w:rsidR="007C03B8" w:rsidRDefault="007C03B8">
      <w:pPr>
        <w:pStyle w:val="NormalWeb"/>
        <w:widowControl/>
        <w:spacing w:beforeAutospacing="0" w:afterAutospacing="0" w:line="480" w:lineRule="atLeast"/>
        <w:rPr>
          <w:kern w:val="2"/>
          <w:sz w:val="28"/>
          <w:szCs w:val="28"/>
        </w:rPr>
      </w:pPr>
      <w:r>
        <w:rPr>
          <w:rFonts w:hint="eastAsia"/>
          <w:kern w:val="2"/>
          <w:sz w:val="28"/>
          <w:szCs w:val="28"/>
        </w:rPr>
        <w:t xml:space="preserve">　　实施农科教协同育人工程，支持一省一所农林高校与本省农（林）科院开展战略合作，建设</w:t>
      </w:r>
      <w:r>
        <w:rPr>
          <w:kern w:val="2"/>
          <w:sz w:val="28"/>
          <w:szCs w:val="28"/>
        </w:rPr>
        <w:t>30</w:t>
      </w:r>
      <w:r>
        <w:rPr>
          <w:rFonts w:hint="eastAsia"/>
          <w:kern w:val="2"/>
          <w:sz w:val="28"/>
          <w:szCs w:val="28"/>
        </w:rPr>
        <w:t>个左右卓越农林人才教育合作育人示范基地；推动“引企入教”，深化产教融合，支持高等农林院校与农林企业建立战略联盟，建设</w:t>
      </w:r>
      <w:r>
        <w:rPr>
          <w:kern w:val="2"/>
          <w:sz w:val="28"/>
          <w:szCs w:val="28"/>
        </w:rPr>
        <w:t>100</w:t>
      </w:r>
      <w:r>
        <w:rPr>
          <w:rFonts w:hint="eastAsia"/>
          <w:kern w:val="2"/>
          <w:sz w:val="28"/>
          <w:szCs w:val="28"/>
        </w:rPr>
        <w:t>个左右农林产教融合示范基地；依托现代农业产业技术体系综合试验站等平台，建设</w:t>
      </w:r>
      <w:r>
        <w:rPr>
          <w:kern w:val="2"/>
          <w:sz w:val="28"/>
          <w:szCs w:val="28"/>
        </w:rPr>
        <w:t>400</w:t>
      </w:r>
      <w:r>
        <w:rPr>
          <w:rFonts w:hint="eastAsia"/>
          <w:kern w:val="2"/>
          <w:sz w:val="28"/>
          <w:szCs w:val="28"/>
        </w:rPr>
        <w:t>个左右农科教合作人才培养基地。</w:t>
      </w:r>
    </w:p>
    <w:p w:rsidR="007C03B8" w:rsidRDefault="007C03B8">
      <w:pPr>
        <w:pStyle w:val="NormalWeb"/>
        <w:widowControl/>
        <w:spacing w:beforeAutospacing="0" w:afterAutospacing="0" w:line="480" w:lineRule="atLeast"/>
        <w:rPr>
          <w:kern w:val="2"/>
          <w:sz w:val="28"/>
          <w:szCs w:val="28"/>
        </w:rPr>
      </w:pPr>
      <w:r>
        <w:rPr>
          <w:rFonts w:hint="eastAsia"/>
          <w:kern w:val="2"/>
          <w:sz w:val="28"/>
          <w:szCs w:val="28"/>
        </w:rPr>
        <w:t xml:space="preserve">　　</w:t>
      </w:r>
      <w:r>
        <w:rPr>
          <w:kern w:val="2"/>
          <w:sz w:val="28"/>
          <w:szCs w:val="28"/>
        </w:rPr>
        <w:t>6.</w:t>
      </w:r>
      <w:r>
        <w:rPr>
          <w:rFonts w:hint="eastAsia"/>
          <w:kern w:val="2"/>
          <w:sz w:val="28"/>
          <w:szCs w:val="28"/>
        </w:rPr>
        <w:t>拓展一流师资队伍建设途径。大力推进农林教师队伍建设，建立</w:t>
      </w:r>
      <w:r>
        <w:rPr>
          <w:kern w:val="2"/>
          <w:sz w:val="28"/>
          <w:szCs w:val="28"/>
        </w:rPr>
        <w:t>10</w:t>
      </w:r>
      <w:r>
        <w:rPr>
          <w:rFonts w:hint="eastAsia"/>
          <w:kern w:val="2"/>
          <w:sz w:val="28"/>
          <w:szCs w:val="28"/>
        </w:rPr>
        <w:t>个左右国家农林教师教学发展示范中心，探索实施“双证”上讲台制度（依法取得高校教师资格证书和教师教学发展中心培训合格证书），提升教师专业水平和教学能力。加大“双师型”教师建设力度，支持农林高校依托大中型企业共建教师实践能力培养培训基地，建立专职教师到企业挂职顶岗制度，聘请科研院所、涉农涉林企业中生产、科研、管理一线专家任兼职教师，加强专业教师“双师”素质培养和“双师”结构专业教学团队建设。教育部、农业农村部、国家林业和草原局联合实施互聘“千人计划”，选派</w:t>
      </w:r>
      <w:r>
        <w:rPr>
          <w:kern w:val="2"/>
          <w:sz w:val="28"/>
          <w:szCs w:val="28"/>
        </w:rPr>
        <w:t>500</w:t>
      </w:r>
      <w:r>
        <w:rPr>
          <w:rFonts w:hint="eastAsia"/>
          <w:kern w:val="2"/>
          <w:sz w:val="28"/>
          <w:szCs w:val="28"/>
        </w:rPr>
        <w:t>名左右农林院校骨干教师到农林企业挂职，参与农林企业的生产实践工作；选派</w:t>
      </w:r>
      <w:r>
        <w:rPr>
          <w:kern w:val="2"/>
          <w:sz w:val="28"/>
          <w:szCs w:val="28"/>
        </w:rPr>
        <w:t>500</w:t>
      </w:r>
      <w:r>
        <w:rPr>
          <w:rFonts w:hint="eastAsia"/>
          <w:kern w:val="2"/>
          <w:sz w:val="28"/>
          <w:szCs w:val="28"/>
        </w:rPr>
        <w:t>名左右农（林）科院专家、农林企业人员到农林高校任职，承担相应教学任务。</w:t>
      </w:r>
    </w:p>
    <w:p w:rsidR="007C03B8" w:rsidRDefault="007C03B8">
      <w:pPr>
        <w:pStyle w:val="NormalWeb"/>
        <w:widowControl/>
        <w:spacing w:beforeAutospacing="0" w:afterAutospacing="0" w:line="480" w:lineRule="atLeast"/>
        <w:rPr>
          <w:kern w:val="2"/>
          <w:sz w:val="28"/>
          <w:szCs w:val="28"/>
        </w:rPr>
      </w:pPr>
      <w:r>
        <w:rPr>
          <w:rFonts w:hint="eastAsia"/>
          <w:kern w:val="2"/>
          <w:sz w:val="28"/>
          <w:szCs w:val="28"/>
        </w:rPr>
        <w:t xml:space="preserve">　　</w:t>
      </w:r>
      <w:r>
        <w:rPr>
          <w:kern w:val="2"/>
          <w:sz w:val="28"/>
          <w:szCs w:val="28"/>
        </w:rPr>
        <w:t>7.</w:t>
      </w:r>
      <w:r>
        <w:rPr>
          <w:rFonts w:hint="eastAsia"/>
          <w:kern w:val="2"/>
          <w:sz w:val="28"/>
          <w:szCs w:val="28"/>
        </w:rPr>
        <w:t>培育高等农林教育质量文化。加快推进农林教育专业认证，构建农林专业三级认证体系，实现农林专业类认证全覆盖，建立起具有中国特色的农林教育专业认证制度，强化过程监控与质量评价，切实推动农林教育实现内涵式发展。</w:t>
      </w:r>
    </w:p>
    <w:p w:rsidR="007C03B8" w:rsidRDefault="007C03B8">
      <w:pPr>
        <w:pStyle w:val="NormalWeb"/>
        <w:widowControl/>
        <w:spacing w:beforeAutospacing="0" w:afterAutospacing="0" w:line="480" w:lineRule="atLeast"/>
        <w:rPr>
          <w:kern w:val="2"/>
          <w:sz w:val="28"/>
          <w:szCs w:val="28"/>
        </w:rPr>
      </w:pPr>
      <w:r>
        <w:rPr>
          <w:rFonts w:hint="eastAsia"/>
          <w:kern w:val="2"/>
          <w:sz w:val="28"/>
          <w:szCs w:val="28"/>
        </w:rPr>
        <w:t xml:space="preserve">　　四、完善计划保障机制</w:t>
      </w:r>
      <w:r>
        <w:rPr>
          <w:kern w:val="2"/>
          <w:sz w:val="28"/>
          <w:szCs w:val="28"/>
        </w:rPr>
        <w:t xml:space="preserve"> </w:t>
      </w:r>
    </w:p>
    <w:p w:rsidR="007C03B8" w:rsidRDefault="007C03B8">
      <w:pPr>
        <w:pStyle w:val="NormalWeb"/>
        <w:widowControl/>
        <w:spacing w:beforeAutospacing="0" w:afterAutospacing="0" w:line="480" w:lineRule="atLeast"/>
        <w:rPr>
          <w:kern w:val="2"/>
          <w:sz w:val="28"/>
          <w:szCs w:val="28"/>
        </w:rPr>
      </w:pPr>
      <w:r>
        <w:rPr>
          <w:rFonts w:hint="eastAsia"/>
          <w:kern w:val="2"/>
          <w:sz w:val="28"/>
          <w:szCs w:val="28"/>
        </w:rPr>
        <w:t xml:space="preserve">　　</w:t>
      </w:r>
      <w:r>
        <w:rPr>
          <w:kern w:val="2"/>
          <w:sz w:val="28"/>
          <w:szCs w:val="28"/>
        </w:rPr>
        <w:t>1.</w:t>
      </w:r>
      <w:r>
        <w:rPr>
          <w:rFonts w:hint="eastAsia"/>
          <w:kern w:val="2"/>
          <w:sz w:val="28"/>
          <w:szCs w:val="28"/>
        </w:rPr>
        <w:t>构建三级实施体系。教育部、农业农村部、国家林业和草原局统筹计划的组织实施工作，做好总体规划</w:t>
      </w:r>
      <w:r>
        <w:rPr>
          <w:kern w:val="2"/>
          <w:sz w:val="28"/>
          <w:szCs w:val="28"/>
        </w:rPr>
        <w:t>,</w:t>
      </w:r>
      <w:r>
        <w:rPr>
          <w:rFonts w:hint="eastAsia"/>
          <w:kern w:val="2"/>
          <w:sz w:val="28"/>
          <w:szCs w:val="28"/>
        </w:rPr>
        <w:t>成立卓越农林人才教育培养计划</w:t>
      </w:r>
      <w:r>
        <w:rPr>
          <w:kern w:val="2"/>
          <w:sz w:val="28"/>
          <w:szCs w:val="28"/>
        </w:rPr>
        <w:t>2.0</w:t>
      </w:r>
      <w:r>
        <w:rPr>
          <w:rFonts w:hint="eastAsia"/>
          <w:kern w:val="2"/>
          <w:sz w:val="28"/>
          <w:szCs w:val="28"/>
        </w:rPr>
        <w:t>专家委员会，协调解决实施过程中重大问题。各省（区、市）教育、农业农村、林业和草原行政部门要结合实际情况，制定实施省级卓越农林人才教育培养计划</w:t>
      </w:r>
      <w:r>
        <w:rPr>
          <w:kern w:val="2"/>
          <w:sz w:val="28"/>
          <w:szCs w:val="28"/>
        </w:rPr>
        <w:t>2.0</w:t>
      </w:r>
      <w:r>
        <w:rPr>
          <w:rFonts w:hint="eastAsia"/>
          <w:kern w:val="2"/>
          <w:sz w:val="28"/>
          <w:szCs w:val="28"/>
        </w:rPr>
        <w:t>。各高校要结合本校实际，制定落实计划</w:t>
      </w:r>
      <w:r>
        <w:rPr>
          <w:kern w:val="2"/>
          <w:sz w:val="28"/>
          <w:szCs w:val="28"/>
        </w:rPr>
        <w:t>2.0</w:t>
      </w:r>
      <w:r>
        <w:rPr>
          <w:rFonts w:hint="eastAsia"/>
          <w:kern w:val="2"/>
          <w:sz w:val="28"/>
          <w:szCs w:val="28"/>
        </w:rPr>
        <w:t>的具体实施方案，纳入学校整体发展规划。</w:t>
      </w:r>
    </w:p>
    <w:p w:rsidR="007C03B8" w:rsidRDefault="007C03B8">
      <w:pPr>
        <w:pStyle w:val="NormalWeb"/>
        <w:widowControl/>
        <w:spacing w:beforeAutospacing="0" w:afterAutospacing="0" w:line="480" w:lineRule="atLeast"/>
        <w:rPr>
          <w:kern w:val="2"/>
          <w:sz w:val="28"/>
          <w:szCs w:val="28"/>
        </w:rPr>
      </w:pPr>
      <w:r>
        <w:rPr>
          <w:rFonts w:hint="eastAsia"/>
          <w:kern w:val="2"/>
          <w:sz w:val="28"/>
          <w:szCs w:val="28"/>
        </w:rPr>
        <w:t xml:space="preserve">　　</w:t>
      </w:r>
      <w:r>
        <w:rPr>
          <w:kern w:val="2"/>
          <w:sz w:val="28"/>
          <w:szCs w:val="28"/>
        </w:rPr>
        <w:t>2.</w:t>
      </w:r>
      <w:r>
        <w:rPr>
          <w:rFonts w:hint="eastAsia"/>
          <w:kern w:val="2"/>
          <w:sz w:val="28"/>
          <w:szCs w:val="28"/>
        </w:rPr>
        <w:t>加强政策支持。教育部等部门在专业设置、人员聘用与评价制度、国际合作交流等方面给予相关高校统筹支持，加大对中西部农林院校、部委（省）共建农林高校的支持力度。各省（区、市）教育等行政部门要加强省域内政策协调配套，提供有力的政策保障。各高校要根据本校实际情况，加大国家、省、校政策的衔接、配套、完善、执行力度。</w:t>
      </w:r>
    </w:p>
    <w:p w:rsidR="007C03B8" w:rsidRDefault="007C03B8">
      <w:pPr>
        <w:pStyle w:val="NormalWeb"/>
        <w:widowControl/>
        <w:spacing w:beforeAutospacing="0" w:afterAutospacing="0" w:line="480" w:lineRule="atLeast"/>
        <w:rPr>
          <w:kern w:val="2"/>
          <w:sz w:val="28"/>
          <w:szCs w:val="28"/>
        </w:rPr>
      </w:pPr>
      <w:r>
        <w:rPr>
          <w:rFonts w:hint="eastAsia"/>
          <w:kern w:val="2"/>
          <w:sz w:val="28"/>
          <w:szCs w:val="28"/>
        </w:rPr>
        <w:t xml:space="preserve">　　</w:t>
      </w:r>
      <w:r>
        <w:rPr>
          <w:kern w:val="2"/>
          <w:sz w:val="28"/>
          <w:szCs w:val="28"/>
        </w:rPr>
        <w:t>3.</w:t>
      </w:r>
      <w:r>
        <w:rPr>
          <w:rFonts w:hint="eastAsia"/>
          <w:kern w:val="2"/>
          <w:sz w:val="28"/>
          <w:szCs w:val="28"/>
        </w:rPr>
        <w:t>加大经费保障。中央高校应统筹利用中央高校教育教学改革专项等中央高校预算拨款和其他各类资源，结合学校实际，支持计划的实施。各省（区、市）应结合教育教学改革实际情况，统筹地方财政高等教育资金和中央支持地方高校改革发展资金，引导支持地方高校实施好计划。</w:t>
      </w:r>
    </w:p>
    <w:p w:rsidR="007C03B8" w:rsidRDefault="007C03B8">
      <w:pPr>
        <w:pStyle w:val="NormalWeb"/>
        <w:widowControl/>
        <w:spacing w:beforeAutospacing="0" w:afterAutospacing="0" w:line="480" w:lineRule="atLeast"/>
        <w:rPr>
          <w:kern w:val="2"/>
          <w:sz w:val="28"/>
          <w:szCs w:val="28"/>
        </w:rPr>
      </w:pPr>
      <w:r>
        <w:rPr>
          <w:rFonts w:hint="eastAsia"/>
          <w:kern w:val="2"/>
          <w:sz w:val="28"/>
          <w:szCs w:val="28"/>
        </w:rPr>
        <w:t xml:space="preserve">　　</w:t>
      </w:r>
      <w:r>
        <w:rPr>
          <w:kern w:val="2"/>
          <w:sz w:val="28"/>
          <w:szCs w:val="28"/>
        </w:rPr>
        <w:t>4.</w:t>
      </w:r>
      <w:r>
        <w:rPr>
          <w:rFonts w:hint="eastAsia"/>
          <w:kern w:val="2"/>
          <w:sz w:val="28"/>
          <w:szCs w:val="28"/>
        </w:rPr>
        <w:t>强化监督检查。教育部会同有关部门指导计划实施，采取适当方式进行绩效评价，建立动态调整机制；加强对典型案例的总结宣传，发挥示范引领作用。各省（区、市）教育、农业农村、林业和草原行政部门加强对计划实施过程跟踪，及时发现建设中存在的问题，提出改进意见和建议；加强实施过程管理，强化动态监测，形成激励约束机制，增强建设实效。各高校要对照本校计划实施方案，在实施过程中及时总结，主动发布自评报告、进展情况及标志性成果，接受社会监督，确保各项改革举措落到实处、取得实效。</w:t>
      </w:r>
    </w:p>
    <w:p w:rsidR="007C03B8" w:rsidRDefault="007C03B8">
      <w:pPr>
        <w:pStyle w:val="NormalWeb"/>
        <w:widowControl/>
        <w:spacing w:beforeAutospacing="0" w:afterAutospacing="0" w:line="480" w:lineRule="atLeast"/>
        <w:jc w:val="right"/>
        <w:rPr>
          <w:kern w:val="2"/>
          <w:sz w:val="28"/>
          <w:szCs w:val="28"/>
        </w:rPr>
      </w:pPr>
      <w:r>
        <w:rPr>
          <w:rFonts w:hint="eastAsia"/>
          <w:kern w:val="2"/>
          <w:sz w:val="28"/>
          <w:szCs w:val="28"/>
        </w:rPr>
        <w:t xml:space="preserve">　　教育部</w:t>
      </w:r>
      <w:r>
        <w:rPr>
          <w:kern w:val="2"/>
          <w:sz w:val="28"/>
          <w:szCs w:val="28"/>
        </w:rPr>
        <w:t xml:space="preserve"> </w:t>
      </w:r>
      <w:r>
        <w:rPr>
          <w:rFonts w:hint="eastAsia"/>
          <w:kern w:val="2"/>
          <w:sz w:val="28"/>
          <w:szCs w:val="28"/>
        </w:rPr>
        <w:t>农业农村部</w:t>
      </w:r>
      <w:r>
        <w:rPr>
          <w:kern w:val="2"/>
          <w:sz w:val="28"/>
          <w:szCs w:val="28"/>
        </w:rPr>
        <w:t xml:space="preserve"> </w:t>
      </w:r>
      <w:r>
        <w:rPr>
          <w:rFonts w:hint="eastAsia"/>
          <w:kern w:val="2"/>
          <w:sz w:val="28"/>
          <w:szCs w:val="28"/>
        </w:rPr>
        <w:t>国家林业和草原局</w:t>
      </w:r>
    </w:p>
    <w:p w:rsidR="007C03B8" w:rsidRDefault="007C03B8">
      <w:pPr>
        <w:pStyle w:val="NormalWeb"/>
        <w:widowControl/>
        <w:spacing w:beforeAutospacing="0" w:afterAutospacing="0" w:line="480" w:lineRule="atLeast"/>
        <w:jc w:val="center"/>
        <w:rPr>
          <w:kern w:val="2"/>
          <w:sz w:val="28"/>
          <w:szCs w:val="28"/>
        </w:rPr>
      </w:pPr>
      <w:r>
        <w:rPr>
          <w:kern w:val="2"/>
          <w:sz w:val="28"/>
          <w:szCs w:val="28"/>
        </w:rPr>
        <w:t xml:space="preserve">                    </w:t>
      </w:r>
      <w:smartTag w:uri="urn:schemas-microsoft-com:office:smarttags" w:element="chsdate">
        <w:smartTagPr>
          <w:attr w:name="IsROCDate" w:val="False"/>
          <w:attr w:name="IsLunarDate" w:val="False"/>
          <w:attr w:name="Day" w:val="17"/>
          <w:attr w:name="Month" w:val="9"/>
          <w:attr w:name="Year" w:val="2018"/>
        </w:smartTagPr>
        <w:r>
          <w:rPr>
            <w:kern w:val="2"/>
            <w:sz w:val="28"/>
            <w:szCs w:val="28"/>
          </w:rPr>
          <w:t>2018</w:t>
        </w:r>
        <w:r>
          <w:rPr>
            <w:rFonts w:hint="eastAsia"/>
            <w:kern w:val="2"/>
            <w:sz w:val="28"/>
            <w:szCs w:val="28"/>
          </w:rPr>
          <w:t>年</w:t>
        </w:r>
        <w:r>
          <w:rPr>
            <w:kern w:val="2"/>
            <w:sz w:val="28"/>
            <w:szCs w:val="28"/>
          </w:rPr>
          <w:t>9</w:t>
        </w:r>
        <w:r>
          <w:rPr>
            <w:rFonts w:hint="eastAsia"/>
            <w:kern w:val="2"/>
            <w:sz w:val="28"/>
            <w:szCs w:val="28"/>
          </w:rPr>
          <w:t>月</w:t>
        </w:r>
        <w:r>
          <w:rPr>
            <w:kern w:val="2"/>
            <w:sz w:val="28"/>
            <w:szCs w:val="28"/>
          </w:rPr>
          <w:t>17</w:t>
        </w:r>
        <w:r>
          <w:rPr>
            <w:rFonts w:hint="eastAsia"/>
            <w:kern w:val="2"/>
            <w:sz w:val="28"/>
            <w:szCs w:val="28"/>
          </w:rPr>
          <w:t>日</w:t>
        </w:r>
      </w:smartTag>
    </w:p>
    <w:p w:rsidR="007C03B8" w:rsidRDefault="007C03B8">
      <w:pPr>
        <w:rPr>
          <w:sz w:val="28"/>
          <w:szCs w:val="28"/>
        </w:rPr>
      </w:pPr>
    </w:p>
    <w:sectPr w:rsidR="007C03B8" w:rsidSect="00E41829">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03B8" w:rsidRDefault="007C03B8" w:rsidP="00E41829">
      <w:r>
        <w:separator/>
      </w:r>
    </w:p>
  </w:endnote>
  <w:endnote w:type="continuationSeparator" w:id="0">
    <w:p w:rsidR="007C03B8" w:rsidRDefault="007C03B8" w:rsidP="00E418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3B8" w:rsidRDefault="007C03B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3B8" w:rsidRDefault="007C03B8">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strokeweight=".5pt">
          <v:textbox style="mso-fit-shape-to-text:t" inset="0,0,0,0">
            <w:txbxContent>
              <w:p w:rsidR="007C03B8" w:rsidRDefault="007C03B8">
                <w:pPr>
                  <w:pStyle w:val="Footer"/>
                </w:pPr>
                <w:fldSimple w:instr=" PAGE  \* MERGEFORMAT ">
                  <w:r>
                    <w:rPr>
                      <w:noProof/>
                    </w:rPr>
                    <w:t>7</w:t>
                  </w:r>
                </w:fldSimple>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3B8" w:rsidRDefault="007C03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03B8" w:rsidRDefault="007C03B8" w:rsidP="00E41829">
      <w:r>
        <w:separator/>
      </w:r>
    </w:p>
  </w:footnote>
  <w:footnote w:type="continuationSeparator" w:id="0">
    <w:p w:rsidR="007C03B8" w:rsidRDefault="007C03B8" w:rsidP="00E418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3B8" w:rsidRDefault="007C03B8">
    <w:pPr>
      <w:pStyle w:val="Header"/>
      <w:pBdr>
        <w:top w:val="none" w:sz="0" w:space="0" w:color="auto"/>
        <w:left w:val="none" w:sz="0" w:space="0" w:color="auto"/>
        <w:bottom w:val="none" w:sz="0" w:space="0" w:color="auto"/>
        <w:right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3B8" w:rsidRDefault="007C03B8" w:rsidP="00E4624D">
    <w:pPr>
      <w:pStyle w:val="Header"/>
      <w:pBdr>
        <w:top w:val="none" w:sz="0" w:space="0" w:color="auto"/>
        <w:left w:val="none" w:sz="0" w:space="0" w:color="auto"/>
        <w:bottom w:val="none" w:sz="0" w:space="0" w:color="auto"/>
        <w:right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3B8" w:rsidRDefault="007C03B8">
    <w:pPr>
      <w:pStyle w:val="Header"/>
      <w:pBdr>
        <w:top w:val="none" w:sz="0" w:space="0" w:color="auto"/>
        <w:left w:val="none" w:sz="0" w:space="0" w:color="auto"/>
        <w:bottom w:val="none" w:sz="0" w:space="0" w:color="auto"/>
        <w:right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embedSystemFonts/>
  <w:defaultTabStop w:val="420"/>
  <w:drawingGridVerticalSpacing w:val="156"/>
  <w:noPunctuationKerning/>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430152BE"/>
    <w:rsid w:val="000C7BBC"/>
    <w:rsid w:val="007464EE"/>
    <w:rsid w:val="007C03B8"/>
    <w:rsid w:val="00AB39C0"/>
    <w:rsid w:val="00E41829"/>
    <w:rsid w:val="00E4624D"/>
    <w:rsid w:val="156D2D22"/>
    <w:rsid w:val="351541AC"/>
    <w:rsid w:val="430152BE"/>
    <w:rsid w:val="4CD57BA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829"/>
    <w:pPr>
      <w:widowControl w:val="0"/>
      <w:jc w:val="both"/>
    </w:pPr>
    <w:rPr>
      <w:rFonts w:ascii="Calibri" w:hAnsi="Calibri"/>
      <w:szCs w:val="24"/>
    </w:rPr>
  </w:style>
  <w:style w:type="paragraph" w:styleId="Heading1">
    <w:name w:val="heading 1"/>
    <w:basedOn w:val="Normal"/>
    <w:next w:val="Normal"/>
    <w:link w:val="Heading1Char"/>
    <w:uiPriority w:val="99"/>
    <w:qFormat/>
    <w:rsid w:val="00E41829"/>
    <w:pPr>
      <w:spacing w:beforeAutospacing="1" w:afterAutospacing="1"/>
      <w:jc w:val="left"/>
      <w:outlineLvl w:val="0"/>
    </w:pPr>
    <w:rPr>
      <w:rFonts w:ascii="宋体" w:hAnsi="宋体"/>
      <w:b/>
      <w:kern w:val="44"/>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297E"/>
    <w:rPr>
      <w:rFonts w:ascii="Calibri" w:hAnsi="Calibri"/>
      <w:b/>
      <w:bCs/>
      <w:kern w:val="44"/>
      <w:sz w:val="44"/>
      <w:szCs w:val="44"/>
    </w:rPr>
  </w:style>
  <w:style w:type="paragraph" w:styleId="Footer">
    <w:name w:val="footer"/>
    <w:basedOn w:val="Normal"/>
    <w:link w:val="FooterChar"/>
    <w:uiPriority w:val="99"/>
    <w:rsid w:val="00E41829"/>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rsid w:val="005A297E"/>
    <w:rPr>
      <w:rFonts w:ascii="Calibri" w:hAnsi="Calibri"/>
      <w:sz w:val="18"/>
      <w:szCs w:val="18"/>
    </w:rPr>
  </w:style>
  <w:style w:type="paragraph" w:styleId="Header">
    <w:name w:val="header"/>
    <w:basedOn w:val="Normal"/>
    <w:link w:val="HeaderChar"/>
    <w:uiPriority w:val="99"/>
    <w:rsid w:val="00E4182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rsid w:val="005A297E"/>
    <w:rPr>
      <w:rFonts w:ascii="Calibri" w:hAnsi="Calibri"/>
      <w:sz w:val="18"/>
      <w:szCs w:val="18"/>
    </w:rPr>
  </w:style>
  <w:style w:type="paragraph" w:styleId="NormalWeb">
    <w:name w:val="Normal (Web)"/>
    <w:basedOn w:val="Normal"/>
    <w:uiPriority w:val="99"/>
    <w:rsid w:val="00E41829"/>
    <w:pPr>
      <w:spacing w:beforeAutospacing="1" w:afterAutospacing="1"/>
      <w:jc w:val="left"/>
    </w:pPr>
    <w:rPr>
      <w:kern w:val="0"/>
      <w:sz w:val="24"/>
    </w:rPr>
  </w:style>
  <w:style w:type="character" w:styleId="Strong">
    <w:name w:val="Strong"/>
    <w:basedOn w:val="DefaultParagraphFont"/>
    <w:uiPriority w:val="99"/>
    <w:qFormat/>
    <w:rsid w:val="00E41829"/>
    <w:rPr>
      <w:rFonts w:cs="Times New Roman"/>
      <w:b/>
    </w:rPr>
  </w:style>
  <w:style w:type="character" w:styleId="FollowedHyperlink">
    <w:name w:val="FollowedHyperlink"/>
    <w:basedOn w:val="DefaultParagraphFont"/>
    <w:uiPriority w:val="99"/>
    <w:rsid w:val="00E41829"/>
    <w:rPr>
      <w:rFonts w:cs="Times New Roman"/>
      <w:color w:val="800080"/>
      <w:u w:val="none"/>
    </w:rPr>
  </w:style>
  <w:style w:type="character" w:styleId="Hyperlink">
    <w:name w:val="Hyperlink"/>
    <w:basedOn w:val="DefaultParagraphFont"/>
    <w:uiPriority w:val="99"/>
    <w:rsid w:val="00E41829"/>
    <w:rPr>
      <w:rFonts w:cs="Times New Roman"/>
      <w:color w:val="0000FF"/>
      <w:u w:val="none"/>
    </w:rPr>
  </w:style>
  <w:style w:type="character" w:customStyle="1" w:styleId="hover20">
    <w:name w:val="hover20"/>
    <w:basedOn w:val="DefaultParagraphFont"/>
    <w:uiPriority w:val="99"/>
    <w:rsid w:val="00E41829"/>
    <w:rPr>
      <w:rFonts w:cs="Times New Roman"/>
      <w:color w:val="557EE7"/>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7</Pages>
  <Words>545</Words>
  <Characters>3111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Trx</dc:creator>
  <cp:keywords/>
  <dc:description/>
  <cp:lastModifiedBy>User</cp:lastModifiedBy>
  <cp:revision>3</cp:revision>
  <cp:lastPrinted>2019-09-06T00:14:00Z</cp:lastPrinted>
  <dcterms:created xsi:type="dcterms:W3CDTF">2019-09-05T00:51:00Z</dcterms:created>
  <dcterms:modified xsi:type="dcterms:W3CDTF">2019-09-06T01:16:00Z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